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23BD0" w14:textId="77777777" w:rsidR="00BC1669" w:rsidRDefault="00BC1669" w:rsidP="00BC1669">
      <w:pPr>
        <w:shd w:val="clear" w:color="auto" w:fill="FFFFFF"/>
        <w:spacing w:after="72" w:line="240" w:lineRule="auto"/>
        <w:rPr>
          <w:rFonts w:ascii="Arial" w:eastAsia="Times New Roman" w:hAnsi="Arial" w:cs="Arial"/>
          <w:b/>
          <w:bCs/>
          <w:color w:val="0071B5"/>
          <w:sz w:val="25"/>
          <w:szCs w:val="25"/>
          <w:lang w:eastAsia="en-NZ"/>
        </w:rPr>
      </w:pPr>
    </w:p>
    <w:p w14:paraId="4F4D16E4" w14:textId="2515049D" w:rsidR="00BC1669" w:rsidRDefault="00BC1669" w:rsidP="00BC1669">
      <w:pPr>
        <w:pBdr>
          <w:bottom w:val="single" w:sz="6" w:space="0" w:color="0071B5"/>
        </w:pBdr>
        <w:shd w:val="clear" w:color="auto" w:fill="FFFFFF"/>
        <w:spacing w:before="108" w:after="72" w:line="240" w:lineRule="auto"/>
        <w:outlineLvl w:val="0"/>
        <w:rPr>
          <w:rFonts w:ascii="Arial" w:eastAsia="Times New Roman" w:hAnsi="Arial" w:cs="Arial"/>
          <w:b/>
          <w:bCs/>
          <w:color w:val="0071B5"/>
          <w:kern w:val="36"/>
          <w:sz w:val="16"/>
          <w:szCs w:val="16"/>
          <w:lang w:eastAsia="en-NZ"/>
        </w:rPr>
      </w:pPr>
      <w:r w:rsidRPr="00BC1669">
        <w:rPr>
          <w:rFonts w:ascii="Arial" w:eastAsia="Times New Roman" w:hAnsi="Arial" w:cs="Arial"/>
          <w:b/>
          <w:bCs/>
          <w:color w:val="0071B5"/>
          <w:kern w:val="36"/>
          <w:sz w:val="41"/>
          <w:szCs w:val="41"/>
          <w:lang w:eastAsia="en-NZ"/>
        </w:rPr>
        <w:t>Topical corticosteroid preparation potencies</w:t>
      </w:r>
    </w:p>
    <w:p w14:paraId="325EC238" w14:textId="5DCF7C45" w:rsidR="00BC1669" w:rsidRPr="00BC1669" w:rsidRDefault="00BC1669" w:rsidP="00BC1669">
      <w:pPr>
        <w:pBdr>
          <w:bottom w:val="single" w:sz="6" w:space="0" w:color="0071B5"/>
        </w:pBdr>
        <w:shd w:val="clear" w:color="auto" w:fill="FFFFFF"/>
        <w:spacing w:before="108" w:after="72" w:line="240" w:lineRule="auto"/>
        <w:outlineLvl w:val="0"/>
        <w:rPr>
          <w:rFonts w:ascii="Arial" w:eastAsia="Times New Roman" w:hAnsi="Arial" w:cs="Arial"/>
          <w:b/>
          <w:bCs/>
          <w:color w:val="0071B5"/>
          <w:kern w:val="36"/>
          <w:sz w:val="16"/>
          <w:szCs w:val="16"/>
          <w:lang w:eastAsia="en-NZ"/>
        </w:rPr>
      </w:pPr>
      <w:r>
        <w:rPr>
          <w:rFonts w:ascii="Arial" w:eastAsia="Times New Roman" w:hAnsi="Arial" w:cs="Arial"/>
          <w:b/>
          <w:bCs/>
          <w:color w:val="0071B5"/>
          <w:kern w:val="36"/>
          <w:sz w:val="16"/>
          <w:szCs w:val="16"/>
          <w:lang w:eastAsia="en-NZ"/>
        </w:rPr>
        <w:t xml:space="preserve">New Zealand Formulary </w:t>
      </w:r>
      <w:r w:rsidR="00777D73">
        <w:rPr>
          <w:rFonts w:ascii="Arial" w:eastAsia="Times New Roman" w:hAnsi="Arial" w:cs="Arial"/>
          <w:b/>
          <w:bCs/>
          <w:color w:val="0071B5"/>
          <w:kern w:val="36"/>
          <w:sz w:val="16"/>
          <w:szCs w:val="16"/>
          <w:lang w:eastAsia="en-NZ"/>
        </w:rPr>
        <w:t>accessed 9</w:t>
      </w:r>
      <w:r w:rsidR="00777D73" w:rsidRPr="00777D73">
        <w:rPr>
          <w:rFonts w:ascii="Arial" w:eastAsia="Times New Roman" w:hAnsi="Arial" w:cs="Arial"/>
          <w:b/>
          <w:bCs/>
          <w:color w:val="0071B5"/>
          <w:kern w:val="36"/>
          <w:sz w:val="16"/>
          <w:szCs w:val="16"/>
          <w:vertAlign w:val="superscript"/>
          <w:lang w:eastAsia="en-NZ"/>
        </w:rPr>
        <w:t>th</w:t>
      </w:r>
      <w:r w:rsidR="00777D73">
        <w:rPr>
          <w:rFonts w:ascii="Arial" w:eastAsia="Times New Roman" w:hAnsi="Arial" w:cs="Arial"/>
          <w:b/>
          <w:bCs/>
          <w:color w:val="0071B5"/>
          <w:kern w:val="36"/>
          <w:sz w:val="16"/>
          <w:szCs w:val="16"/>
          <w:lang w:eastAsia="en-NZ"/>
        </w:rPr>
        <w:t xml:space="preserve"> June 2023</w:t>
      </w:r>
    </w:p>
    <w:p w14:paraId="5E24134B" w14:textId="21DC1D8D" w:rsidR="00BC1669" w:rsidRPr="00BC1669" w:rsidRDefault="00BC1669" w:rsidP="00BC1669">
      <w:pPr>
        <w:shd w:val="clear" w:color="auto" w:fill="FFFFFF"/>
        <w:spacing w:after="192" w:line="240" w:lineRule="auto"/>
        <w:rPr>
          <w:rFonts w:ascii="Arial" w:eastAsia="Times New Roman" w:hAnsi="Arial" w:cs="Arial"/>
          <w:color w:val="494949"/>
          <w:sz w:val="23"/>
          <w:szCs w:val="23"/>
          <w:lang w:eastAsia="en-NZ"/>
        </w:rPr>
      </w:pPr>
      <w:bookmarkStart w:id="0" w:name="nzf_6288"/>
      <w:bookmarkEnd w:id="0"/>
      <w:r w:rsidRPr="00BC1669">
        <w:rPr>
          <w:rFonts w:ascii="Arial" w:eastAsia="Times New Roman" w:hAnsi="Arial" w:cs="Arial"/>
          <w:color w:val="494949"/>
          <w:sz w:val="23"/>
          <w:szCs w:val="23"/>
          <w:lang w:eastAsia="en-NZ"/>
        </w:rPr>
        <w:t>Potency of a topical corticosteroid preparation is a result of the formulation as well as the corticosteroid. For a visual display of topical corticosteroid products, see </w:t>
      </w:r>
      <w:hyperlink r:id="rId8" w:history="1">
        <w:r w:rsidRPr="00BC1669">
          <w:rPr>
            <w:rFonts w:ascii="Arial" w:eastAsia="Times New Roman" w:hAnsi="Arial" w:cs="Arial"/>
            <w:color w:val="0071B5"/>
            <w:sz w:val="23"/>
            <w:szCs w:val="23"/>
            <w:u w:val="single"/>
            <w:lang w:eastAsia="en-NZ"/>
          </w:rPr>
          <w:t>Funded Emollients and Plain Steroid Creams in New Zealand 2020</w:t>
        </w:r>
      </w:hyperlink>
      <w:r w:rsidRPr="00BC1669">
        <w:rPr>
          <w:rFonts w:ascii="Arial" w:eastAsia="Times New Roman" w:hAnsi="Arial" w:cs="Arial"/>
          <w:color w:val="494949"/>
          <w:sz w:val="23"/>
          <w:szCs w:val="23"/>
          <w:lang w:eastAsia="en-NZ"/>
        </w:rPr>
        <w:t> Starship Child Health, 2020 (note: subsidised brands may change see </w:t>
      </w:r>
      <w:proofErr w:type="spellStart"/>
      <w:r w:rsidRPr="00BC1669">
        <w:rPr>
          <w:rFonts w:ascii="Arial" w:eastAsia="Times New Roman" w:hAnsi="Arial" w:cs="Arial"/>
          <w:color w:val="494949"/>
          <w:sz w:val="23"/>
          <w:szCs w:val="23"/>
          <w:lang w:eastAsia="en-NZ"/>
        </w:rPr>
        <w:fldChar w:fldCharType="begin"/>
      </w:r>
      <w:r w:rsidRPr="00BC1669">
        <w:rPr>
          <w:rFonts w:ascii="Arial" w:eastAsia="Times New Roman" w:hAnsi="Arial" w:cs="Arial"/>
          <w:color w:val="494949"/>
          <w:sz w:val="23"/>
          <w:szCs w:val="23"/>
          <w:lang w:eastAsia="en-NZ"/>
        </w:rPr>
        <w:instrText xml:space="preserve"> HYPERLINK "https://pharmac.govt.nz/pharmaceutical-schedule/community-section-b/" \t "_blank" </w:instrText>
      </w:r>
      <w:r w:rsidRPr="00BC1669">
        <w:rPr>
          <w:rFonts w:ascii="Arial" w:eastAsia="Times New Roman" w:hAnsi="Arial" w:cs="Arial"/>
          <w:color w:val="494949"/>
          <w:sz w:val="23"/>
          <w:szCs w:val="23"/>
          <w:lang w:eastAsia="en-NZ"/>
        </w:rPr>
      </w:r>
      <w:r w:rsidRPr="00BC1669">
        <w:rPr>
          <w:rFonts w:ascii="Arial" w:eastAsia="Times New Roman" w:hAnsi="Arial" w:cs="Arial"/>
          <w:color w:val="494949"/>
          <w:sz w:val="23"/>
          <w:szCs w:val="23"/>
          <w:lang w:eastAsia="en-NZ"/>
        </w:rPr>
        <w:fldChar w:fldCharType="separate"/>
      </w:r>
      <w:r w:rsidRPr="00BC1669">
        <w:rPr>
          <w:rFonts w:ascii="Arial" w:eastAsia="Times New Roman" w:hAnsi="Arial" w:cs="Arial"/>
          <w:color w:val="0071B5"/>
          <w:sz w:val="23"/>
          <w:szCs w:val="23"/>
          <w:u w:val="single"/>
          <w:lang w:eastAsia="en-NZ"/>
        </w:rPr>
        <w:t>Pharmac</w:t>
      </w:r>
      <w:proofErr w:type="spellEnd"/>
      <w:r w:rsidRPr="00BC1669">
        <w:rPr>
          <w:rFonts w:ascii="Arial" w:eastAsia="Times New Roman" w:hAnsi="Arial" w:cs="Arial"/>
          <w:color w:val="494949"/>
          <w:sz w:val="23"/>
          <w:szCs w:val="23"/>
          <w:lang w:eastAsia="en-NZ"/>
        </w:rPr>
        <w:fldChar w:fldCharType="end"/>
      </w:r>
      <w:r w:rsidRPr="00BC1669">
        <w:rPr>
          <w:rFonts w:ascii="Arial" w:eastAsia="Times New Roman" w:hAnsi="Arial" w:cs="Arial"/>
          <w:color w:val="494949"/>
          <w:sz w:val="23"/>
          <w:szCs w:val="23"/>
          <w:lang w:eastAsia="en-NZ"/>
        </w:rPr>
        <w:t> for most current funding information).</w:t>
      </w:r>
    </w:p>
    <w:p w14:paraId="0D9F9FE6" w14:textId="77777777" w:rsidR="00BC1669" w:rsidRPr="00BC1669" w:rsidRDefault="00BC1669" w:rsidP="00BC1669">
      <w:pPr>
        <w:shd w:val="clear" w:color="auto" w:fill="FFFFFF"/>
        <w:spacing w:after="192" w:line="240" w:lineRule="auto"/>
        <w:rPr>
          <w:rFonts w:ascii="Arial" w:eastAsia="Times New Roman" w:hAnsi="Arial" w:cs="Arial"/>
          <w:color w:val="00B050"/>
          <w:sz w:val="23"/>
          <w:szCs w:val="23"/>
          <w:lang w:eastAsia="en-NZ"/>
        </w:rPr>
      </w:pPr>
      <w:r w:rsidRPr="00BC1669">
        <w:rPr>
          <w:rFonts w:ascii="Arial" w:eastAsia="Times New Roman" w:hAnsi="Arial" w:cs="Arial"/>
          <w:b/>
          <w:bCs/>
          <w:color w:val="00B050"/>
          <w:sz w:val="23"/>
          <w:szCs w:val="23"/>
          <w:lang w:eastAsia="en-NZ"/>
        </w:rPr>
        <w:t>Mild</w:t>
      </w:r>
    </w:p>
    <w:p w14:paraId="3FC5F214" w14:textId="4AFEAA83" w:rsidR="00BC1669" w:rsidRDefault="00BC1669" w:rsidP="00BC1669">
      <w:pPr>
        <w:numPr>
          <w:ilvl w:val="0"/>
          <w:numId w:val="1"/>
        </w:numPr>
        <w:shd w:val="clear" w:color="auto" w:fill="FFFFFF"/>
        <w:spacing w:after="0" w:line="240" w:lineRule="auto"/>
        <w:rPr>
          <w:rFonts w:ascii="Arial" w:eastAsia="Times New Roman" w:hAnsi="Arial" w:cs="Arial"/>
          <w:color w:val="494949"/>
          <w:sz w:val="23"/>
          <w:szCs w:val="23"/>
          <w:lang w:eastAsia="en-NZ"/>
        </w:rPr>
      </w:pPr>
      <w:r w:rsidRPr="00BC1669">
        <w:rPr>
          <w:rFonts w:ascii="Arial" w:eastAsia="Times New Roman" w:hAnsi="Arial" w:cs="Arial"/>
          <w:color w:val="494949"/>
          <w:sz w:val="23"/>
          <w:szCs w:val="23"/>
          <w:lang w:eastAsia="en-NZ"/>
        </w:rPr>
        <w:t>hydrocortisone 0.1–2.5%</w:t>
      </w:r>
    </w:p>
    <w:p w14:paraId="26E02EE5" w14:textId="77777777" w:rsidR="00BC1669" w:rsidRPr="00BC1669" w:rsidRDefault="00BC1669" w:rsidP="00BC1669">
      <w:pPr>
        <w:shd w:val="clear" w:color="auto" w:fill="FFFFFF"/>
        <w:spacing w:after="0" w:line="240" w:lineRule="auto"/>
        <w:ind w:left="720"/>
        <w:rPr>
          <w:rFonts w:ascii="Arial" w:eastAsia="Times New Roman" w:hAnsi="Arial" w:cs="Arial"/>
          <w:color w:val="494949"/>
          <w:sz w:val="23"/>
          <w:szCs w:val="23"/>
          <w:lang w:eastAsia="en-NZ"/>
        </w:rPr>
      </w:pPr>
    </w:p>
    <w:p w14:paraId="27E4B399" w14:textId="77777777" w:rsidR="00BC1669" w:rsidRPr="00BC1669" w:rsidRDefault="00BC1669" w:rsidP="00BC1669">
      <w:pPr>
        <w:shd w:val="clear" w:color="auto" w:fill="FFFFFF"/>
        <w:spacing w:after="192" w:line="240" w:lineRule="auto"/>
        <w:rPr>
          <w:rFonts w:ascii="Arial" w:eastAsia="Times New Roman" w:hAnsi="Arial" w:cs="Arial"/>
          <w:color w:val="FFC000" w:themeColor="accent4"/>
          <w:sz w:val="23"/>
          <w:szCs w:val="23"/>
          <w:lang w:eastAsia="en-NZ"/>
        </w:rPr>
      </w:pPr>
      <w:r w:rsidRPr="00BC1669">
        <w:rPr>
          <w:rFonts w:ascii="Arial" w:eastAsia="Times New Roman" w:hAnsi="Arial" w:cs="Arial"/>
          <w:b/>
          <w:bCs/>
          <w:color w:val="FFC000" w:themeColor="accent4"/>
          <w:sz w:val="23"/>
          <w:szCs w:val="23"/>
          <w:lang w:eastAsia="en-NZ"/>
        </w:rPr>
        <w:t>Moderate</w:t>
      </w:r>
      <w:r w:rsidRPr="00BC1669">
        <w:rPr>
          <w:rFonts w:ascii="Arial" w:eastAsia="Times New Roman" w:hAnsi="Arial" w:cs="Arial"/>
          <w:color w:val="FFC000" w:themeColor="accent4"/>
          <w:sz w:val="23"/>
          <w:szCs w:val="23"/>
          <w:lang w:eastAsia="en-NZ"/>
        </w:rPr>
        <w:t> (2–25 times as potent as hydrocortisone)</w:t>
      </w:r>
    </w:p>
    <w:p w14:paraId="0BCAAF41" w14:textId="77777777" w:rsidR="00BC1669" w:rsidRPr="00BC1669" w:rsidRDefault="00BC1669" w:rsidP="00BC1669">
      <w:pPr>
        <w:numPr>
          <w:ilvl w:val="0"/>
          <w:numId w:val="2"/>
        </w:numPr>
        <w:shd w:val="clear" w:color="auto" w:fill="FFFFFF"/>
        <w:spacing w:after="0" w:line="240" w:lineRule="auto"/>
        <w:rPr>
          <w:rFonts w:ascii="Arial" w:eastAsia="Times New Roman" w:hAnsi="Arial" w:cs="Arial"/>
          <w:color w:val="494949"/>
          <w:sz w:val="23"/>
          <w:szCs w:val="23"/>
          <w:lang w:eastAsia="en-NZ"/>
        </w:rPr>
      </w:pPr>
      <w:proofErr w:type="spellStart"/>
      <w:r w:rsidRPr="00BC1669">
        <w:rPr>
          <w:rFonts w:ascii="Arial" w:eastAsia="Times New Roman" w:hAnsi="Arial" w:cs="Arial"/>
          <w:color w:val="494949"/>
          <w:sz w:val="23"/>
          <w:szCs w:val="23"/>
          <w:lang w:eastAsia="en-NZ"/>
        </w:rPr>
        <w:t>clobetasone</w:t>
      </w:r>
      <w:proofErr w:type="spellEnd"/>
      <w:r w:rsidRPr="00BC1669">
        <w:rPr>
          <w:rFonts w:ascii="Arial" w:eastAsia="Times New Roman" w:hAnsi="Arial" w:cs="Arial"/>
          <w:color w:val="494949"/>
          <w:sz w:val="23"/>
          <w:szCs w:val="23"/>
          <w:lang w:eastAsia="en-NZ"/>
        </w:rPr>
        <w:t xml:space="preserve"> butyrate (</w:t>
      </w:r>
      <w:proofErr w:type="spellStart"/>
      <w:r w:rsidRPr="00BC1669">
        <w:rPr>
          <w:rFonts w:ascii="Arial" w:eastAsia="Times New Roman" w:hAnsi="Arial" w:cs="Arial"/>
          <w:i/>
          <w:iCs/>
          <w:color w:val="494949"/>
          <w:sz w:val="23"/>
          <w:szCs w:val="23"/>
          <w:lang w:eastAsia="en-NZ"/>
        </w:rPr>
        <w:t>Eumovate</w:t>
      </w:r>
      <w:proofErr w:type="spellEnd"/>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color w:val="494949"/>
          <w:sz w:val="23"/>
          <w:szCs w:val="23"/>
          <w:lang w:eastAsia="en-NZ"/>
        </w:rPr>
        <w:t>)</w:t>
      </w:r>
    </w:p>
    <w:p w14:paraId="79B20CB4" w14:textId="0173CFBA" w:rsidR="00BC1669" w:rsidRDefault="00BC1669" w:rsidP="00BC1669">
      <w:pPr>
        <w:numPr>
          <w:ilvl w:val="0"/>
          <w:numId w:val="2"/>
        </w:numPr>
        <w:shd w:val="clear" w:color="auto" w:fill="FFFFFF"/>
        <w:spacing w:after="0" w:line="240" w:lineRule="auto"/>
        <w:rPr>
          <w:rFonts w:ascii="Arial" w:eastAsia="Times New Roman" w:hAnsi="Arial" w:cs="Arial"/>
          <w:color w:val="494949"/>
          <w:sz w:val="23"/>
          <w:szCs w:val="23"/>
          <w:lang w:eastAsia="en-NZ"/>
        </w:rPr>
      </w:pPr>
      <w:r w:rsidRPr="00BC1669">
        <w:rPr>
          <w:rFonts w:ascii="Arial" w:eastAsia="Times New Roman" w:hAnsi="Arial" w:cs="Arial"/>
          <w:color w:val="494949"/>
          <w:sz w:val="23"/>
          <w:szCs w:val="23"/>
          <w:lang w:eastAsia="en-NZ"/>
        </w:rPr>
        <w:t>triamcinolone acetonide (</w:t>
      </w:r>
      <w:proofErr w:type="spellStart"/>
      <w:r w:rsidRPr="00BC1669">
        <w:rPr>
          <w:rFonts w:ascii="Arial" w:eastAsia="Times New Roman" w:hAnsi="Arial" w:cs="Arial"/>
          <w:i/>
          <w:iCs/>
          <w:color w:val="494949"/>
          <w:sz w:val="23"/>
          <w:szCs w:val="23"/>
          <w:lang w:eastAsia="en-NZ"/>
        </w:rPr>
        <w:t>Aristocort</w:t>
      </w:r>
      <w:proofErr w:type="spellEnd"/>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color w:val="494949"/>
          <w:sz w:val="23"/>
          <w:szCs w:val="23"/>
          <w:lang w:eastAsia="en-NZ"/>
        </w:rPr>
        <w:t>)</w:t>
      </w:r>
    </w:p>
    <w:p w14:paraId="52F4BF74" w14:textId="77777777" w:rsidR="00BC1669" w:rsidRPr="00BC1669" w:rsidRDefault="00BC1669" w:rsidP="00BC1669">
      <w:pPr>
        <w:shd w:val="clear" w:color="auto" w:fill="FFFFFF"/>
        <w:spacing w:after="0" w:line="240" w:lineRule="auto"/>
        <w:rPr>
          <w:rFonts w:ascii="Arial" w:eastAsia="Times New Roman" w:hAnsi="Arial" w:cs="Arial"/>
          <w:color w:val="494949"/>
          <w:sz w:val="23"/>
          <w:szCs w:val="23"/>
          <w:lang w:eastAsia="en-NZ"/>
        </w:rPr>
      </w:pPr>
    </w:p>
    <w:p w14:paraId="3E9E4928" w14:textId="77777777" w:rsidR="00BC1669" w:rsidRPr="00BC1669" w:rsidRDefault="00BC1669" w:rsidP="00BC1669">
      <w:pPr>
        <w:shd w:val="clear" w:color="auto" w:fill="FFFFFF"/>
        <w:spacing w:after="192" w:line="240" w:lineRule="auto"/>
        <w:rPr>
          <w:rFonts w:ascii="Arial" w:eastAsia="Times New Roman" w:hAnsi="Arial" w:cs="Arial"/>
          <w:color w:val="C45911" w:themeColor="accent2" w:themeShade="BF"/>
          <w:sz w:val="23"/>
          <w:szCs w:val="23"/>
          <w:lang w:eastAsia="en-NZ"/>
        </w:rPr>
      </w:pPr>
      <w:r w:rsidRPr="00BC1669">
        <w:rPr>
          <w:rFonts w:ascii="Arial" w:eastAsia="Times New Roman" w:hAnsi="Arial" w:cs="Arial"/>
          <w:b/>
          <w:bCs/>
          <w:color w:val="C45911" w:themeColor="accent2" w:themeShade="BF"/>
          <w:sz w:val="23"/>
          <w:szCs w:val="23"/>
          <w:lang w:eastAsia="en-NZ"/>
        </w:rPr>
        <w:t>Potent</w:t>
      </w:r>
      <w:r w:rsidRPr="00BC1669">
        <w:rPr>
          <w:rFonts w:ascii="Arial" w:eastAsia="Times New Roman" w:hAnsi="Arial" w:cs="Arial"/>
          <w:color w:val="C45911" w:themeColor="accent2" w:themeShade="BF"/>
          <w:sz w:val="23"/>
          <w:szCs w:val="23"/>
          <w:lang w:eastAsia="en-NZ"/>
        </w:rPr>
        <w:t> (100–150 times as potent as hydrocortisone)</w:t>
      </w:r>
    </w:p>
    <w:p w14:paraId="59694F6F" w14:textId="77777777" w:rsidR="00BC1669" w:rsidRPr="00BC1669" w:rsidRDefault="00BC1669" w:rsidP="00BC1669">
      <w:pPr>
        <w:numPr>
          <w:ilvl w:val="0"/>
          <w:numId w:val="3"/>
        </w:numPr>
        <w:shd w:val="clear" w:color="auto" w:fill="FFFFFF"/>
        <w:spacing w:after="0" w:line="240" w:lineRule="auto"/>
        <w:rPr>
          <w:rFonts w:ascii="Arial" w:eastAsia="Times New Roman" w:hAnsi="Arial" w:cs="Arial"/>
          <w:color w:val="494949"/>
          <w:sz w:val="23"/>
          <w:szCs w:val="23"/>
          <w:lang w:eastAsia="en-NZ"/>
        </w:rPr>
      </w:pPr>
      <w:r w:rsidRPr="00BC1669">
        <w:rPr>
          <w:rFonts w:ascii="Arial" w:eastAsia="Times New Roman" w:hAnsi="Arial" w:cs="Arial"/>
          <w:color w:val="494949"/>
          <w:sz w:val="23"/>
          <w:szCs w:val="23"/>
          <w:lang w:eastAsia="en-NZ"/>
        </w:rPr>
        <w:t>betamethasone valerate (</w:t>
      </w:r>
      <w:r w:rsidRPr="00BC1669">
        <w:rPr>
          <w:rFonts w:ascii="Arial" w:eastAsia="Times New Roman" w:hAnsi="Arial" w:cs="Arial"/>
          <w:i/>
          <w:iCs/>
          <w:color w:val="494949"/>
          <w:sz w:val="23"/>
          <w:szCs w:val="23"/>
          <w:lang w:eastAsia="en-NZ"/>
        </w:rPr>
        <w:t>Beta</w:t>
      </w:r>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color w:val="494949"/>
          <w:sz w:val="23"/>
          <w:szCs w:val="23"/>
          <w:lang w:eastAsia="en-NZ"/>
        </w:rPr>
        <w:t>, </w:t>
      </w:r>
      <w:r w:rsidRPr="00BC1669">
        <w:rPr>
          <w:rFonts w:ascii="Arial" w:eastAsia="Times New Roman" w:hAnsi="Arial" w:cs="Arial"/>
          <w:i/>
          <w:iCs/>
          <w:color w:val="494949"/>
          <w:sz w:val="23"/>
          <w:szCs w:val="23"/>
          <w:lang w:eastAsia="en-NZ"/>
        </w:rPr>
        <w:t>Betnovate</w:t>
      </w:r>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color w:val="494949"/>
          <w:sz w:val="23"/>
          <w:szCs w:val="23"/>
          <w:lang w:eastAsia="en-NZ"/>
        </w:rPr>
        <w:t>)</w:t>
      </w:r>
    </w:p>
    <w:p w14:paraId="38192F3D" w14:textId="77777777" w:rsidR="00BC1669" w:rsidRPr="00BC1669" w:rsidRDefault="00BC1669" w:rsidP="00BC1669">
      <w:pPr>
        <w:numPr>
          <w:ilvl w:val="0"/>
          <w:numId w:val="3"/>
        </w:numPr>
        <w:shd w:val="clear" w:color="auto" w:fill="FFFFFF"/>
        <w:spacing w:after="0" w:line="240" w:lineRule="auto"/>
        <w:rPr>
          <w:rFonts w:ascii="Arial" w:eastAsia="Times New Roman" w:hAnsi="Arial" w:cs="Arial"/>
          <w:color w:val="494949"/>
          <w:sz w:val="23"/>
          <w:szCs w:val="23"/>
          <w:lang w:eastAsia="en-NZ"/>
        </w:rPr>
      </w:pPr>
      <w:proofErr w:type="spellStart"/>
      <w:r w:rsidRPr="00BC1669">
        <w:rPr>
          <w:rFonts w:ascii="Arial" w:eastAsia="Times New Roman" w:hAnsi="Arial" w:cs="Arial"/>
          <w:color w:val="494949"/>
          <w:sz w:val="23"/>
          <w:szCs w:val="23"/>
          <w:lang w:eastAsia="en-NZ"/>
        </w:rPr>
        <w:t>betamethasone</w:t>
      </w:r>
      <w:proofErr w:type="spellEnd"/>
      <w:r w:rsidRPr="00BC1669">
        <w:rPr>
          <w:rFonts w:ascii="Arial" w:eastAsia="Times New Roman" w:hAnsi="Arial" w:cs="Arial"/>
          <w:color w:val="494949"/>
          <w:sz w:val="23"/>
          <w:szCs w:val="23"/>
          <w:lang w:eastAsia="en-NZ"/>
        </w:rPr>
        <w:t xml:space="preserve"> </w:t>
      </w:r>
      <w:proofErr w:type="spellStart"/>
      <w:r w:rsidRPr="00BC1669">
        <w:rPr>
          <w:rFonts w:ascii="Arial" w:eastAsia="Times New Roman" w:hAnsi="Arial" w:cs="Arial"/>
          <w:color w:val="494949"/>
          <w:sz w:val="23"/>
          <w:szCs w:val="23"/>
          <w:lang w:eastAsia="en-NZ"/>
        </w:rPr>
        <w:t>dipropionate</w:t>
      </w:r>
      <w:proofErr w:type="spellEnd"/>
      <w:r w:rsidRPr="00BC1669">
        <w:rPr>
          <w:rFonts w:ascii="Arial" w:eastAsia="Times New Roman" w:hAnsi="Arial" w:cs="Arial"/>
          <w:color w:val="494949"/>
          <w:sz w:val="23"/>
          <w:szCs w:val="23"/>
          <w:lang w:eastAsia="en-NZ"/>
        </w:rPr>
        <w:t xml:space="preserve"> (</w:t>
      </w:r>
      <w:proofErr w:type="spellStart"/>
      <w:r w:rsidRPr="00BC1669">
        <w:rPr>
          <w:rFonts w:ascii="Arial" w:eastAsia="Times New Roman" w:hAnsi="Arial" w:cs="Arial"/>
          <w:i/>
          <w:iCs/>
          <w:color w:val="494949"/>
          <w:sz w:val="23"/>
          <w:szCs w:val="23"/>
          <w:lang w:eastAsia="en-NZ"/>
        </w:rPr>
        <w:t>Diprosone</w:t>
      </w:r>
      <w:proofErr w:type="spellEnd"/>
      <w:r w:rsidRPr="00BC1669">
        <w:rPr>
          <w:rFonts w:ascii="Arial" w:eastAsia="Times New Roman" w:hAnsi="Arial" w:cs="Arial"/>
          <w:i/>
          <w:iCs/>
          <w:color w:val="494949"/>
          <w:sz w:val="15"/>
          <w:szCs w:val="15"/>
          <w:vertAlign w:val="superscript"/>
          <w:lang w:eastAsia="en-NZ"/>
        </w:rPr>
        <w:t>®</w:t>
      </w:r>
      <w:r w:rsidRPr="00BC1669">
        <w:rPr>
          <w:rFonts w:ascii="Arial" w:eastAsia="Times New Roman" w:hAnsi="Arial" w:cs="Arial"/>
          <w:color w:val="494949"/>
          <w:sz w:val="23"/>
          <w:szCs w:val="23"/>
          <w:lang w:eastAsia="en-NZ"/>
        </w:rPr>
        <w:t>)</w:t>
      </w:r>
    </w:p>
    <w:p w14:paraId="39360FCD" w14:textId="77777777" w:rsidR="00BC1669" w:rsidRPr="00BC1669" w:rsidRDefault="00BC1669" w:rsidP="00BC1669">
      <w:pPr>
        <w:numPr>
          <w:ilvl w:val="0"/>
          <w:numId w:val="3"/>
        </w:numPr>
        <w:shd w:val="clear" w:color="auto" w:fill="FFFFFF"/>
        <w:spacing w:after="0" w:line="240" w:lineRule="auto"/>
        <w:rPr>
          <w:rFonts w:ascii="Arial" w:eastAsia="Times New Roman" w:hAnsi="Arial" w:cs="Arial"/>
          <w:color w:val="494949"/>
          <w:sz w:val="23"/>
          <w:szCs w:val="23"/>
          <w:lang w:eastAsia="en-NZ"/>
        </w:rPr>
      </w:pPr>
      <w:r w:rsidRPr="00BC1669">
        <w:rPr>
          <w:rFonts w:ascii="Arial" w:eastAsia="Times New Roman" w:hAnsi="Arial" w:cs="Arial"/>
          <w:color w:val="494949"/>
          <w:sz w:val="23"/>
          <w:szCs w:val="23"/>
          <w:lang w:eastAsia="en-NZ"/>
        </w:rPr>
        <w:t>diflucortolone valerate</w:t>
      </w:r>
    </w:p>
    <w:p w14:paraId="6A0900BD" w14:textId="77777777" w:rsidR="00BC1669" w:rsidRPr="00BC1669" w:rsidRDefault="00BC1669" w:rsidP="00BC1669">
      <w:pPr>
        <w:numPr>
          <w:ilvl w:val="0"/>
          <w:numId w:val="3"/>
        </w:numPr>
        <w:shd w:val="clear" w:color="auto" w:fill="FFFFFF"/>
        <w:spacing w:after="0" w:line="240" w:lineRule="auto"/>
        <w:rPr>
          <w:rFonts w:ascii="Arial" w:eastAsia="Times New Roman" w:hAnsi="Arial" w:cs="Arial"/>
          <w:color w:val="494949"/>
          <w:sz w:val="23"/>
          <w:szCs w:val="23"/>
          <w:lang w:eastAsia="en-NZ"/>
        </w:rPr>
      </w:pPr>
      <w:r w:rsidRPr="00BC1669">
        <w:rPr>
          <w:rFonts w:ascii="Arial" w:eastAsia="Times New Roman" w:hAnsi="Arial" w:cs="Arial"/>
          <w:color w:val="494949"/>
          <w:sz w:val="23"/>
          <w:szCs w:val="23"/>
          <w:lang w:eastAsia="en-NZ"/>
        </w:rPr>
        <w:t>hydrocortisone butyrate (</w:t>
      </w:r>
      <w:proofErr w:type="spellStart"/>
      <w:r w:rsidRPr="00BC1669">
        <w:rPr>
          <w:rFonts w:ascii="Arial" w:eastAsia="Times New Roman" w:hAnsi="Arial" w:cs="Arial"/>
          <w:i/>
          <w:iCs/>
          <w:color w:val="494949"/>
          <w:sz w:val="23"/>
          <w:szCs w:val="23"/>
          <w:lang w:eastAsia="en-NZ"/>
        </w:rPr>
        <w:t>Locoid</w:t>
      </w:r>
      <w:proofErr w:type="spellEnd"/>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color w:val="494949"/>
          <w:sz w:val="23"/>
          <w:szCs w:val="23"/>
          <w:lang w:eastAsia="en-NZ"/>
        </w:rPr>
        <w:t>)</w:t>
      </w:r>
    </w:p>
    <w:p w14:paraId="766E479F" w14:textId="77777777" w:rsidR="00BC1669" w:rsidRPr="00BC1669" w:rsidRDefault="00BC1669" w:rsidP="00BC1669">
      <w:pPr>
        <w:numPr>
          <w:ilvl w:val="0"/>
          <w:numId w:val="3"/>
        </w:numPr>
        <w:shd w:val="clear" w:color="auto" w:fill="FFFFFF"/>
        <w:spacing w:after="0" w:line="240" w:lineRule="auto"/>
        <w:rPr>
          <w:rFonts w:ascii="Arial" w:eastAsia="Times New Roman" w:hAnsi="Arial" w:cs="Arial"/>
          <w:color w:val="494949"/>
          <w:sz w:val="23"/>
          <w:szCs w:val="23"/>
          <w:lang w:eastAsia="en-NZ"/>
        </w:rPr>
      </w:pPr>
      <w:r w:rsidRPr="00BC1669">
        <w:rPr>
          <w:rFonts w:ascii="Arial" w:eastAsia="Times New Roman" w:hAnsi="Arial" w:cs="Arial"/>
          <w:color w:val="494949"/>
          <w:sz w:val="23"/>
          <w:szCs w:val="23"/>
          <w:lang w:eastAsia="en-NZ"/>
        </w:rPr>
        <w:t>mometasone furoate (</w:t>
      </w:r>
      <w:proofErr w:type="spellStart"/>
      <w:r w:rsidRPr="00BC1669">
        <w:rPr>
          <w:rFonts w:ascii="Arial" w:eastAsia="Times New Roman" w:hAnsi="Arial" w:cs="Arial"/>
          <w:i/>
          <w:iCs/>
          <w:color w:val="494949"/>
          <w:sz w:val="23"/>
          <w:szCs w:val="23"/>
          <w:lang w:eastAsia="en-NZ"/>
        </w:rPr>
        <w:t>Elocon</w:t>
      </w:r>
      <w:proofErr w:type="spellEnd"/>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color w:val="494949"/>
          <w:sz w:val="23"/>
          <w:szCs w:val="23"/>
          <w:lang w:eastAsia="en-NZ"/>
        </w:rPr>
        <w:t>)</w:t>
      </w:r>
    </w:p>
    <w:p w14:paraId="7FBE8D5A" w14:textId="1261976B" w:rsidR="00BC1669" w:rsidRDefault="00BC1669" w:rsidP="00BC1669">
      <w:pPr>
        <w:numPr>
          <w:ilvl w:val="0"/>
          <w:numId w:val="3"/>
        </w:numPr>
        <w:shd w:val="clear" w:color="auto" w:fill="FFFFFF"/>
        <w:spacing w:after="0" w:line="240" w:lineRule="auto"/>
        <w:rPr>
          <w:rFonts w:ascii="Arial" w:eastAsia="Times New Roman" w:hAnsi="Arial" w:cs="Arial"/>
          <w:color w:val="494949"/>
          <w:sz w:val="23"/>
          <w:szCs w:val="23"/>
          <w:lang w:eastAsia="en-NZ"/>
        </w:rPr>
      </w:pPr>
      <w:r w:rsidRPr="00BC1669">
        <w:rPr>
          <w:rFonts w:ascii="Arial" w:eastAsia="Times New Roman" w:hAnsi="Arial" w:cs="Arial"/>
          <w:color w:val="494949"/>
          <w:sz w:val="23"/>
          <w:szCs w:val="23"/>
          <w:lang w:eastAsia="en-NZ"/>
        </w:rPr>
        <w:t xml:space="preserve">methylprednisolone </w:t>
      </w:r>
      <w:proofErr w:type="spellStart"/>
      <w:r w:rsidRPr="00BC1669">
        <w:rPr>
          <w:rFonts w:ascii="Arial" w:eastAsia="Times New Roman" w:hAnsi="Arial" w:cs="Arial"/>
          <w:color w:val="494949"/>
          <w:sz w:val="23"/>
          <w:szCs w:val="23"/>
          <w:lang w:eastAsia="en-NZ"/>
        </w:rPr>
        <w:t>aceponate</w:t>
      </w:r>
      <w:proofErr w:type="spellEnd"/>
      <w:r w:rsidRPr="00BC1669">
        <w:rPr>
          <w:rFonts w:ascii="Arial" w:eastAsia="Times New Roman" w:hAnsi="Arial" w:cs="Arial"/>
          <w:color w:val="494949"/>
          <w:sz w:val="23"/>
          <w:szCs w:val="23"/>
          <w:lang w:eastAsia="en-NZ"/>
        </w:rPr>
        <w:t xml:space="preserve"> (</w:t>
      </w:r>
      <w:proofErr w:type="spellStart"/>
      <w:r w:rsidRPr="00BC1669">
        <w:rPr>
          <w:rFonts w:ascii="Arial" w:eastAsia="Times New Roman" w:hAnsi="Arial" w:cs="Arial"/>
          <w:i/>
          <w:iCs/>
          <w:color w:val="494949"/>
          <w:sz w:val="23"/>
          <w:szCs w:val="23"/>
          <w:lang w:eastAsia="en-NZ"/>
        </w:rPr>
        <w:t>Advantan</w:t>
      </w:r>
      <w:proofErr w:type="spellEnd"/>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color w:val="494949"/>
          <w:sz w:val="23"/>
          <w:szCs w:val="23"/>
          <w:lang w:eastAsia="en-NZ"/>
        </w:rPr>
        <w:t>)</w:t>
      </w:r>
    </w:p>
    <w:p w14:paraId="44FA8D62" w14:textId="77777777" w:rsidR="00BC1669" w:rsidRPr="00BC1669" w:rsidRDefault="00BC1669" w:rsidP="00BC1669">
      <w:pPr>
        <w:shd w:val="clear" w:color="auto" w:fill="FFFFFF"/>
        <w:spacing w:after="0" w:line="240" w:lineRule="auto"/>
        <w:rPr>
          <w:rFonts w:ascii="Arial" w:eastAsia="Times New Roman" w:hAnsi="Arial" w:cs="Arial"/>
          <w:color w:val="494949"/>
          <w:sz w:val="23"/>
          <w:szCs w:val="23"/>
          <w:lang w:eastAsia="en-NZ"/>
        </w:rPr>
      </w:pPr>
    </w:p>
    <w:p w14:paraId="4C41B9CB" w14:textId="77777777" w:rsidR="00BC1669" w:rsidRPr="00BC1669" w:rsidRDefault="00BC1669" w:rsidP="00BC1669">
      <w:pPr>
        <w:shd w:val="clear" w:color="auto" w:fill="FFFFFF"/>
        <w:spacing w:after="192" w:line="240" w:lineRule="auto"/>
        <w:rPr>
          <w:rFonts w:ascii="Arial" w:eastAsia="Times New Roman" w:hAnsi="Arial" w:cs="Arial"/>
          <w:color w:val="FF0000"/>
          <w:sz w:val="23"/>
          <w:szCs w:val="23"/>
          <w:lang w:eastAsia="en-NZ"/>
        </w:rPr>
      </w:pPr>
      <w:r w:rsidRPr="00BC1669">
        <w:rPr>
          <w:rFonts w:ascii="Arial" w:eastAsia="Times New Roman" w:hAnsi="Arial" w:cs="Arial"/>
          <w:b/>
          <w:bCs/>
          <w:color w:val="FF0000"/>
          <w:sz w:val="23"/>
          <w:szCs w:val="23"/>
          <w:lang w:eastAsia="en-NZ"/>
        </w:rPr>
        <w:t>Very potent</w:t>
      </w:r>
      <w:r w:rsidRPr="00BC1669">
        <w:rPr>
          <w:rFonts w:ascii="Arial" w:eastAsia="Times New Roman" w:hAnsi="Arial" w:cs="Arial"/>
          <w:color w:val="FF0000"/>
          <w:sz w:val="23"/>
          <w:szCs w:val="23"/>
          <w:lang w:eastAsia="en-NZ"/>
        </w:rPr>
        <w:t> (up to 600 times as potent as hydrocortisone)</w:t>
      </w:r>
    </w:p>
    <w:p w14:paraId="10818394" w14:textId="77777777" w:rsidR="00BC1669" w:rsidRPr="00BC1669" w:rsidRDefault="00BC1669" w:rsidP="00BC1669">
      <w:pPr>
        <w:numPr>
          <w:ilvl w:val="0"/>
          <w:numId w:val="4"/>
        </w:numPr>
        <w:shd w:val="clear" w:color="auto" w:fill="FFFFFF"/>
        <w:spacing w:after="0" w:line="240" w:lineRule="auto"/>
        <w:rPr>
          <w:rFonts w:ascii="Arial" w:eastAsia="Times New Roman" w:hAnsi="Arial" w:cs="Arial"/>
          <w:color w:val="494949"/>
          <w:sz w:val="23"/>
          <w:szCs w:val="23"/>
          <w:lang w:eastAsia="en-NZ"/>
        </w:rPr>
      </w:pPr>
      <w:proofErr w:type="spellStart"/>
      <w:r w:rsidRPr="00BC1669">
        <w:rPr>
          <w:rFonts w:ascii="Arial" w:eastAsia="Times New Roman" w:hAnsi="Arial" w:cs="Arial"/>
          <w:color w:val="494949"/>
          <w:sz w:val="23"/>
          <w:szCs w:val="23"/>
          <w:lang w:eastAsia="en-NZ"/>
        </w:rPr>
        <w:t>clobetasol</w:t>
      </w:r>
      <w:proofErr w:type="spellEnd"/>
      <w:r w:rsidRPr="00BC1669">
        <w:rPr>
          <w:rFonts w:ascii="Arial" w:eastAsia="Times New Roman" w:hAnsi="Arial" w:cs="Arial"/>
          <w:color w:val="494949"/>
          <w:sz w:val="23"/>
          <w:szCs w:val="23"/>
          <w:lang w:eastAsia="en-NZ"/>
        </w:rPr>
        <w:t xml:space="preserve"> propionate (</w:t>
      </w:r>
      <w:proofErr w:type="spellStart"/>
      <w:r w:rsidRPr="00BC1669">
        <w:rPr>
          <w:rFonts w:ascii="Arial" w:eastAsia="Times New Roman" w:hAnsi="Arial" w:cs="Arial"/>
          <w:i/>
          <w:iCs/>
          <w:color w:val="494949"/>
          <w:sz w:val="23"/>
          <w:szCs w:val="23"/>
          <w:lang w:eastAsia="en-NZ"/>
        </w:rPr>
        <w:t>Dermol</w:t>
      </w:r>
      <w:proofErr w:type="spellEnd"/>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color w:val="494949"/>
          <w:sz w:val="23"/>
          <w:szCs w:val="23"/>
          <w:lang w:eastAsia="en-NZ"/>
        </w:rPr>
        <w:t>)</w:t>
      </w:r>
    </w:p>
    <w:p w14:paraId="53A18EA5" w14:textId="77777777" w:rsidR="00BC1669" w:rsidRPr="00BC1669" w:rsidRDefault="00BC1669" w:rsidP="00BC1669">
      <w:pPr>
        <w:numPr>
          <w:ilvl w:val="0"/>
          <w:numId w:val="4"/>
        </w:numPr>
        <w:shd w:val="clear" w:color="auto" w:fill="FFFFFF"/>
        <w:spacing w:after="0" w:line="240" w:lineRule="auto"/>
        <w:rPr>
          <w:rFonts w:ascii="Arial" w:eastAsia="Times New Roman" w:hAnsi="Arial" w:cs="Arial"/>
          <w:color w:val="494949"/>
          <w:sz w:val="23"/>
          <w:szCs w:val="23"/>
          <w:lang w:eastAsia="en-NZ"/>
        </w:rPr>
      </w:pPr>
      <w:proofErr w:type="spellStart"/>
      <w:r w:rsidRPr="00BC1669">
        <w:rPr>
          <w:rFonts w:ascii="Arial" w:eastAsia="Times New Roman" w:hAnsi="Arial" w:cs="Arial"/>
          <w:color w:val="494949"/>
          <w:sz w:val="23"/>
          <w:szCs w:val="23"/>
          <w:lang w:eastAsia="en-NZ"/>
        </w:rPr>
        <w:t>betamethasone</w:t>
      </w:r>
      <w:proofErr w:type="spellEnd"/>
      <w:r w:rsidRPr="00BC1669">
        <w:rPr>
          <w:rFonts w:ascii="Arial" w:eastAsia="Times New Roman" w:hAnsi="Arial" w:cs="Arial"/>
          <w:color w:val="494949"/>
          <w:sz w:val="23"/>
          <w:szCs w:val="23"/>
          <w:lang w:eastAsia="en-NZ"/>
        </w:rPr>
        <w:t xml:space="preserve"> </w:t>
      </w:r>
      <w:proofErr w:type="spellStart"/>
      <w:r w:rsidRPr="00BC1669">
        <w:rPr>
          <w:rFonts w:ascii="Arial" w:eastAsia="Times New Roman" w:hAnsi="Arial" w:cs="Arial"/>
          <w:color w:val="494949"/>
          <w:sz w:val="23"/>
          <w:szCs w:val="23"/>
          <w:lang w:eastAsia="en-NZ"/>
        </w:rPr>
        <w:t>dipropionate</w:t>
      </w:r>
      <w:proofErr w:type="spellEnd"/>
      <w:r w:rsidRPr="00BC1669">
        <w:rPr>
          <w:rFonts w:ascii="Arial" w:eastAsia="Times New Roman" w:hAnsi="Arial" w:cs="Arial"/>
          <w:color w:val="494949"/>
          <w:sz w:val="23"/>
          <w:szCs w:val="23"/>
          <w:lang w:eastAsia="en-NZ"/>
        </w:rPr>
        <w:t xml:space="preserve"> (</w:t>
      </w:r>
      <w:proofErr w:type="spellStart"/>
      <w:r w:rsidRPr="00BC1669">
        <w:rPr>
          <w:rFonts w:ascii="Arial" w:eastAsia="Times New Roman" w:hAnsi="Arial" w:cs="Arial"/>
          <w:i/>
          <w:iCs/>
          <w:color w:val="494949"/>
          <w:sz w:val="23"/>
          <w:szCs w:val="23"/>
          <w:lang w:eastAsia="en-NZ"/>
        </w:rPr>
        <w:t>Diprosone</w:t>
      </w:r>
      <w:proofErr w:type="spellEnd"/>
      <w:r w:rsidRPr="00BC1669">
        <w:rPr>
          <w:rFonts w:ascii="Arial" w:eastAsia="Times New Roman" w:hAnsi="Arial" w:cs="Arial"/>
          <w:i/>
          <w:iCs/>
          <w:color w:val="494949"/>
          <w:sz w:val="23"/>
          <w:szCs w:val="23"/>
          <w:lang w:eastAsia="en-NZ"/>
        </w:rPr>
        <w:t xml:space="preserve"> OV</w:t>
      </w:r>
      <w:r w:rsidRPr="00BC1669">
        <w:rPr>
          <w:rFonts w:ascii="Arial" w:eastAsia="Times New Roman" w:hAnsi="Arial" w:cs="Arial"/>
          <w:color w:val="494949"/>
          <w:sz w:val="15"/>
          <w:szCs w:val="15"/>
          <w:vertAlign w:val="superscript"/>
          <w:lang w:eastAsia="en-NZ"/>
        </w:rPr>
        <w:t>®</w:t>
      </w:r>
      <w:r w:rsidRPr="00BC1669">
        <w:rPr>
          <w:rFonts w:ascii="Arial" w:eastAsia="Times New Roman" w:hAnsi="Arial" w:cs="Arial"/>
          <w:i/>
          <w:iCs/>
          <w:color w:val="494949"/>
          <w:sz w:val="23"/>
          <w:szCs w:val="23"/>
          <w:lang w:eastAsia="en-NZ"/>
        </w:rPr>
        <w:t>ointment</w:t>
      </w:r>
      <w:r w:rsidRPr="00BC1669">
        <w:rPr>
          <w:rFonts w:ascii="Arial" w:eastAsia="Times New Roman" w:hAnsi="Arial" w:cs="Arial"/>
          <w:color w:val="494949"/>
          <w:sz w:val="23"/>
          <w:szCs w:val="23"/>
          <w:lang w:eastAsia="en-NZ"/>
        </w:rPr>
        <w:t>)</w:t>
      </w:r>
    </w:p>
    <w:p w14:paraId="35608115" w14:textId="77777777" w:rsidR="00BC1669" w:rsidRDefault="00BC1669" w:rsidP="00BC1669">
      <w:pPr>
        <w:shd w:val="clear" w:color="auto" w:fill="FFFFFF"/>
        <w:spacing w:after="72" w:line="240" w:lineRule="auto"/>
        <w:rPr>
          <w:rFonts w:ascii="Arial" w:eastAsia="Times New Roman" w:hAnsi="Arial" w:cs="Arial"/>
          <w:b/>
          <w:bCs/>
          <w:color w:val="0071B5"/>
          <w:sz w:val="25"/>
          <w:szCs w:val="25"/>
          <w:lang w:eastAsia="en-NZ"/>
        </w:rPr>
      </w:pPr>
    </w:p>
    <w:p w14:paraId="4E5E2752" w14:textId="77777777" w:rsidR="00C6501B" w:rsidRDefault="00C6501B" w:rsidP="00BC1669">
      <w:pPr>
        <w:shd w:val="clear" w:color="auto" w:fill="FFFFFF"/>
        <w:spacing w:after="72" w:line="240" w:lineRule="auto"/>
        <w:rPr>
          <w:rFonts w:ascii="Arial" w:eastAsia="Times New Roman" w:hAnsi="Arial" w:cs="Arial"/>
          <w:b/>
          <w:bCs/>
          <w:color w:val="0071B5"/>
          <w:sz w:val="25"/>
          <w:szCs w:val="25"/>
          <w:lang w:eastAsia="en-NZ"/>
        </w:rPr>
      </w:pPr>
    </w:p>
    <w:p w14:paraId="7735107B"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are used for the treatment of inflammatory conditions of the skin (other than those arising from an infection), in particular </w:t>
      </w:r>
      <w:hyperlink r:id="rId9" w:history="1">
        <w:r w:rsidRPr="00745094">
          <w:rPr>
            <w:rFonts w:ascii="Arial" w:eastAsia="Times New Roman" w:hAnsi="Arial" w:cs="Arial"/>
            <w:color w:val="0071B5"/>
            <w:sz w:val="23"/>
            <w:szCs w:val="23"/>
            <w:u w:val="single"/>
            <w:lang w:eastAsia="en-NZ"/>
          </w:rPr>
          <w:t>eczema</w:t>
        </w:r>
      </w:hyperlink>
      <w:r w:rsidRPr="00745094">
        <w:rPr>
          <w:rFonts w:ascii="Arial" w:eastAsia="Times New Roman" w:hAnsi="Arial" w:cs="Arial"/>
          <w:color w:val="494949"/>
          <w:sz w:val="23"/>
          <w:szCs w:val="23"/>
          <w:lang w:eastAsia="en-NZ"/>
        </w:rPr>
        <w:t>, contact dermatitis, insect stings, and eczema of </w:t>
      </w:r>
      <w:hyperlink r:id="rId10" w:history="1">
        <w:r w:rsidRPr="00745094">
          <w:rPr>
            <w:rFonts w:ascii="Arial" w:eastAsia="Times New Roman" w:hAnsi="Arial" w:cs="Arial"/>
            <w:color w:val="0071B5"/>
            <w:sz w:val="23"/>
            <w:szCs w:val="23"/>
            <w:u w:val="single"/>
            <w:lang w:eastAsia="en-NZ"/>
          </w:rPr>
          <w:t>scabies</w:t>
        </w:r>
      </w:hyperlink>
      <w:r w:rsidRPr="00745094">
        <w:rPr>
          <w:rFonts w:ascii="Arial" w:eastAsia="Times New Roman" w:hAnsi="Arial" w:cs="Arial"/>
          <w:color w:val="494949"/>
          <w:sz w:val="23"/>
          <w:szCs w:val="23"/>
          <w:lang w:eastAsia="en-NZ"/>
        </w:rPr>
        <w:t>. Corticosteroids suppress the inflammatory reaction during use; they are not curative and on discontinuation a rebound exacerbation of the condition may occur (see Topical steroid withdrawal reactions below). They are generally used to relieve symptoms and suppress signs of the disorder when other measures such as emollients are ineffective.</w:t>
      </w:r>
    </w:p>
    <w:p w14:paraId="49C6421C"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are not recommended in the routine treatment of urticaria; treatment should only be initiated and supervised by a specialist.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are </w:t>
      </w:r>
      <w:r w:rsidRPr="00745094">
        <w:rPr>
          <w:rFonts w:ascii="Arial" w:eastAsia="Times New Roman" w:hAnsi="Arial" w:cs="Arial"/>
          <w:b/>
          <w:bCs/>
          <w:color w:val="444444"/>
          <w:sz w:val="23"/>
          <w:szCs w:val="23"/>
          <w:lang w:eastAsia="en-NZ"/>
        </w:rPr>
        <w:t>contra-indicated</w:t>
      </w:r>
      <w:r w:rsidRPr="00745094">
        <w:rPr>
          <w:rFonts w:ascii="Arial" w:eastAsia="Times New Roman" w:hAnsi="Arial" w:cs="Arial"/>
          <w:color w:val="494949"/>
          <w:sz w:val="23"/>
          <w:szCs w:val="23"/>
          <w:lang w:eastAsia="en-NZ"/>
        </w:rPr>
        <w:t> in rosacea. They may worsen ulcerated or secondarily infected lesions. They should not be used indiscriminately in pruritus (where they will only benefit if inflammation is causing the itch) and are </w:t>
      </w:r>
      <w:r w:rsidRPr="00745094">
        <w:rPr>
          <w:rFonts w:ascii="Arial" w:eastAsia="Times New Roman" w:hAnsi="Arial" w:cs="Arial"/>
          <w:b/>
          <w:bCs/>
          <w:color w:val="444444"/>
          <w:sz w:val="23"/>
          <w:szCs w:val="23"/>
          <w:lang w:eastAsia="en-NZ"/>
        </w:rPr>
        <w:t>not</w:t>
      </w:r>
      <w:r w:rsidRPr="00745094">
        <w:rPr>
          <w:rFonts w:ascii="Arial" w:eastAsia="Times New Roman" w:hAnsi="Arial" w:cs="Arial"/>
          <w:color w:val="494949"/>
          <w:sz w:val="23"/>
          <w:szCs w:val="23"/>
          <w:lang w:eastAsia="en-NZ"/>
        </w:rPr>
        <w:t> recommended for acne vulgaris.</w:t>
      </w:r>
    </w:p>
    <w:p w14:paraId="55E2F6B9"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Systemic or very potent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should be avoided or given only under specialist supervision in </w:t>
      </w:r>
      <w:r w:rsidRPr="00745094">
        <w:rPr>
          <w:rFonts w:ascii="Arial" w:eastAsia="Times New Roman" w:hAnsi="Arial" w:cs="Arial"/>
          <w:i/>
          <w:iCs/>
          <w:color w:val="494949"/>
          <w:sz w:val="23"/>
          <w:szCs w:val="23"/>
          <w:lang w:eastAsia="en-NZ"/>
        </w:rPr>
        <w:t>psoriasis</w:t>
      </w:r>
      <w:r w:rsidRPr="00745094">
        <w:rPr>
          <w:rFonts w:ascii="Arial" w:eastAsia="Times New Roman" w:hAnsi="Arial" w:cs="Arial"/>
          <w:color w:val="494949"/>
          <w:sz w:val="23"/>
          <w:szCs w:val="23"/>
          <w:lang w:eastAsia="en-NZ"/>
        </w:rPr>
        <w:t xml:space="preserve"> because, although they may suppress the psoriasis in the short term, relapse or vigorous rebound occurs on withdrawal (sometimes </w:t>
      </w:r>
      <w:r w:rsidRPr="00745094">
        <w:rPr>
          <w:rFonts w:ascii="Arial" w:eastAsia="Times New Roman" w:hAnsi="Arial" w:cs="Arial"/>
          <w:color w:val="494949"/>
          <w:sz w:val="23"/>
          <w:szCs w:val="23"/>
          <w:lang w:eastAsia="en-NZ"/>
        </w:rPr>
        <w:lastRenderedPageBreak/>
        <w:t>precipitating severe pustular psoriasis). For the role of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in the treatment of psoriasis, see </w:t>
      </w:r>
      <w:hyperlink r:id="rId11" w:history="1">
        <w:r w:rsidRPr="00745094">
          <w:rPr>
            <w:rFonts w:ascii="Arial" w:eastAsia="Times New Roman" w:hAnsi="Arial" w:cs="Arial"/>
            <w:color w:val="0071B5"/>
            <w:sz w:val="23"/>
            <w:szCs w:val="23"/>
            <w:u w:val="single"/>
            <w:lang w:eastAsia="en-NZ"/>
          </w:rPr>
          <w:t>Topical treatment for psoriasis</w:t>
        </w:r>
      </w:hyperlink>
      <w:r w:rsidRPr="00745094">
        <w:rPr>
          <w:rFonts w:ascii="Arial" w:eastAsia="Times New Roman" w:hAnsi="Arial" w:cs="Arial"/>
          <w:color w:val="494949"/>
          <w:sz w:val="23"/>
          <w:szCs w:val="23"/>
          <w:lang w:eastAsia="en-NZ"/>
        </w:rPr>
        <w:t>.</w:t>
      </w:r>
    </w:p>
    <w:p w14:paraId="7F200D24"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In general, the most potent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should be reserved for recalcitrant dermatoses such as </w:t>
      </w:r>
      <w:r w:rsidRPr="00745094">
        <w:rPr>
          <w:rFonts w:ascii="Arial" w:eastAsia="Times New Roman" w:hAnsi="Arial" w:cs="Arial"/>
          <w:i/>
          <w:iCs/>
          <w:color w:val="494949"/>
          <w:sz w:val="23"/>
          <w:szCs w:val="23"/>
          <w:lang w:eastAsia="en-NZ"/>
        </w:rPr>
        <w:t xml:space="preserve">chronic discoid lupus </w:t>
      </w:r>
      <w:proofErr w:type="spellStart"/>
      <w:r w:rsidRPr="00745094">
        <w:rPr>
          <w:rFonts w:ascii="Arial" w:eastAsia="Times New Roman" w:hAnsi="Arial" w:cs="Arial"/>
          <w:i/>
          <w:iCs/>
          <w:color w:val="494949"/>
          <w:sz w:val="23"/>
          <w:szCs w:val="23"/>
          <w:lang w:eastAsia="en-NZ"/>
        </w:rPr>
        <w:t>erythematosus</w:t>
      </w:r>
      <w:proofErr w:type="spellEnd"/>
      <w:r w:rsidRPr="00745094">
        <w:rPr>
          <w:rFonts w:ascii="Arial" w:eastAsia="Times New Roman" w:hAnsi="Arial" w:cs="Arial"/>
          <w:color w:val="494949"/>
          <w:sz w:val="23"/>
          <w:szCs w:val="23"/>
          <w:lang w:eastAsia="en-NZ"/>
        </w:rPr>
        <w:t>, </w:t>
      </w:r>
      <w:r w:rsidRPr="00745094">
        <w:rPr>
          <w:rFonts w:ascii="Arial" w:eastAsia="Times New Roman" w:hAnsi="Arial" w:cs="Arial"/>
          <w:i/>
          <w:iCs/>
          <w:color w:val="494949"/>
          <w:sz w:val="23"/>
          <w:szCs w:val="23"/>
          <w:lang w:eastAsia="en-NZ"/>
        </w:rPr>
        <w:t xml:space="preserve">lichen simplex </w:t>
      </w:r>
      <w:proofErr w:type="spellStart"/>
      <w:r w:rsidRPr="00745094">
        <w:rPr>
          <w:rFonts w:ascii="Arial" w:eastAsia="Times New Roman" w:hAnsi="Arial" w:cs="Arial"/>
          <w:i/>
          <w:iCs/>
          <w:color w:val="494949"/>
          <w:sz w:val="23"/>
          <w:szCs w:val="23"/>
          <w:lang w:eastAsia="en-NZ"/>
        </w:rPr>
        <w:t>chronicus</w:t>
      </w:r>
      <w:proofErr w:type="spellEnd"/>
      <w:r w:rsidRPr="00745094">
        <w:rPr>
          <w:rFonts w:ascii="Arial" w:eastAsia="Times New Roman" w:hAnsi="Arial" w:cs="Arial"/>
          <w:color w:val="494949"/>
          <w:sz w:val="23"/>
          <w:szCs w:val="23"/>
          <w:lang w:eastAsia="en-NZ"/>
        </w:rPr>
        <w:t>, </w:t>
      </w:r>
      <w:r w:rsidRPr="00745094">
        <w:rPr>
          <w:rFonts w:ascii="Arial" w:eastAsia="Times New Roman" w:hAnsi="Arial" w:cs="Arial"/>
          <w:i/>
          <w:iCs/>
          <w:color w:val="494949"/>
          <w:sz w:val="23"/>
          <w:szCs w:val="23"/>
          <w:lang w:eastAsia="en-NZ"/>
        </w:rPr>
        <w:t xml:space="preserve">hypertrophic lichen </w:t>
      </w:r>
      <w:proofErr w:type="spellStart"/>
      <w:r w:rsidRPr="00745094">
        <w:rPr>
          <w:rFonts w:ascii="Arial" w:eastAsia="Times New Roman" w:hAnsi="Arial" w:cs="Arial"/>
          <w:i/>
          <w:iCs/>
          <w:color w:val="494949"/>
          <w:sz w:val="23"/>
          <w:szCs w:val="23"/>
          <w:lang w:eastAsia="en-NZ"/>
        </w:rPr>
        <w:t>planus</w:t>
      </w:r>
      <w:proofErr w:type="spellEnd"/>
      <w:r w:rsidRPr="00745094">
        <w:rPr>
          <w:rFonts w:ascii="Arial" w:eastAsia="Times New Roman" w:hAnsi="Arial" w:cs="Arial"/>
          <w:color w:val="494949"/>
          <w:sz w:val="23"/>
          <w:szCs w:val="23"/>
          <w:lang w:eastAsia="en-NZ"/>
        </w:rPr>
        <w:t>, and </w:t>
      </w:r>
      <w:proofErr w:type="spellStart"/>
      <w:r w:rsidRPr="00745094">
        <w:rPr>
          <w:rFonts w:ascii="Arial" w:eastAsia="Times New Roman" w:hAnsi="Arial" w:cs="Arial"/>
          <w:i/>
          <w:iCs/>
          <w:color w:val="494949"/>
          <w:sz w:val="23"/>
          <w:szCs w:val="23"/>
          <w:lang w:eastAsia="en-NZ"/>
        </w:rPr>
        <w:t>palmoplantar</w:t>
      </w:r>
      <w:proofErr w:type="spellEnd"/>
      <w:r w:rsidRPr="00745094">
        <w:rPr>
          <w:rFonts w:ascii="Arial" w:eastAsia="Times New Roman" w:hAnsi="Arial" w:cs="Arial"/>
          <w:i/>
          <w:iCs/>
          <w:color w:val="494949"/>
          <w:sz w:val="23"/>
          <w:szCs w:val="23"/>
          <w:lang w:eastAsia="en-NZ"/>
        </w:rPr>
        <w:t xml:space="preserve"> pustulosis</w:t>
      </w:r>
      <w:r w:rsidRPr="00745094">
        <w:rPr>
          <w:rFonts w:ascii="Arial" w:eastAsia="Times New Roman" w:hAnsi="Arial" w:cs="Arial"/>
          <w:color w:val="494949"/>
          <w:sz w:val="23"/>
          <w:szCs w:val="23"/>
          <w:lang w:eastAsia="en-NZ"/>
        </w:rPr>
        <w:t>. Potent corticosteroids should generally be avoided on the face and skin flexures, but specialists occasionally prescribe them for use on these areas in certain circumstances.</w:t>
      </w:r>
    </w:p>
    <w:p w14:paraId="0BA51A8A"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When topical treatment has failed, intralesional </w:t>
      </w:r>
      <w:hyperlink r:id="rId12" w:history="1">
        <w:r w:rsidRPr="00745094">
          <w:rPr>
            <w:rFonts w:ascii="Arial" w:eastAsia="Times New Roman" w:hAnsi="Arial" w:cs="Arial"/>
            <w:color w:val="0071B5"/>
            <w:sz w:val="23"/>
            <w:szCs w:val="23"/>
            <w:u w:val="single"/>
            <w:lang w:eastAsia="en-NZ"/>
          </w:rPr>
          <w:t>corticosteroid injections</w:t>
        </w:r>
      </w:hyperlink>
      <w:r w:rsidRPr="00745094">
        <w:rPr>
          <w:rFonts w:ascii="Arial" w:eastAsia="Times New Roman" w:hAnsi="Arial" w:cs="Arial"/>
          <w:color w:val="494949"/>
          <w:sz w:val="23"/>
          <w:szCs w:val="23"/>
          <w:lang w:eastAsia="en-NZ"/>
        </w:rPr>
        <w:t> may be used. These are more effective than the very potent topical corticosteroid preparations and should be reserved for severe cases where there are localised lesions such as </w:t>
      </w:r>
      <w:r w:rsidRPr="00745094">
        <w:rPr>
          <w:rFonts w:ascii="Arial" w:eastAsia="Times New Roman" w:hAnsi="Arial" w:cs="Arial"/>
          <w:i/>
          <w:iCs/>
          <w:color w:val="494949"/>
          <w:sz w:val="23"/>
          <w:szCs w:val="23"/>
          <w:lang w:eastAsia="en-NZ"/>
        </w:rPr>
        <w:t>keloid scars</w:t>
      </w:r>
      <w:r w:rsidRPr="00745094">
        <w:rPr>
          <w:rFonts w:ascii="Arial" w:eastAsia="Times New Roman" w:hAnsi="Arial" w:cs="Arial"/>
          <w:color w:val="494949"/>
          <w:sz w:val="23"/>
          <w:szCs w:val="23"/>
          <w:lang w:eastAsia="en-NZ"/>
        </w:rPr>
        <w:t>, </w:t>
      </w:r>
      <w:r w:rsidRPr="00745094">
        <w:rPr>
          <w:rFonts w:ascii="Arial" w:eastAsia="Times New Roman" w:hAnsi="Arial" w:cs="Arial"/>
          <w:i/>
          <w:iCs/>
          <w:color w:val="494949"/>
          <w:sz w:val="23"/>
          <w:szCs w:val="23"/>
          <w:lang w:eastAsia="en-NZ"/>
        </w:rPr>
        <w:t>hypertrophic lichen planus</w:t>
      </w:r>
      <w:r w:rsidRPr="00745094">
        <w:rPr>
          <w:rFonts w:ascii="Arial" w:eastAsia="Times New Roman" w:hAnsi="Arial" w:cs="Arial"/>
          <w:color w:val="494949"/>
          <w:sz w:val="23"/>
          <w:szCs w:val="23"/>
          <w:lang w:eastAsia="en-NZ"/>
        </w:rPr>
        <w:t>, or </w:t>
      </w:r>
      <w:r w:rsidRPr="00745094">
        <w:rPr>
          <w:rFonts w:ascii="Arial" w:eastAsia="Times New Roman" w:hAnsi="Arial" w:cs="Arial"/>
          <w:i/>
          <w:iCs/>
          <w:color w:val="494949"/>
          <w:sz w:val="23"/>
          <w:szCs w:val="23"/>
          <w:lang w:eastAsia="en-NZ"/>
        </w:rPr>
        <w:t>localised alopecia areata</w:t>
      </w:r>
      <w:r w:rsidRPr="00745094">
        <w:rPr>
          <w:rFonts w:ascii="Arial" w:eastAsia="Times New Roman" w:hAnsi="Arial" w:cs="Arial"/>
          <w:color w:val="494949"/>
          <w:sz w:val="23"/>
          <w:szCs w:val="23"/>
          <w:lang w:eastAsia="en-NZ"/>
        </w:rPr>
        <w:t>.</w:t>
      </w:r>
    </w:p>
    <w:p w14:paraId="57F7C85E" w14:textId="77777777" w:rsidR="00745094" w:rsidRPr="00745094" w:rsidRDefault="00745094" w:rsidP="00745094">
      <w:pPr>
        <w:shd w:val="clear" w:color="auto" w:fill="FFFFFF"/>
        <w:spacing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Perioral lesions</w:t>
      </w:r>
    </w:p>
    <w:p w14:paraId="57CEACBE" w14:textId="77777777" w:rsidR="00745094" w:rsidRPr="00745094" w:rsidRDefault="00BC1212" w:rsidP="00745094">
      <w:pPr>
        <w:shd w:val="clear" w:color="auto" w:fill="FFFFFF"/>
        <w:spacing w:line="240" w:lineRule="auto"/>
        <w:rPr>
          <w:rFonts w:ascii="Arial" w:eastAsia="Times New Roman" w:hAnsi="Arial" w:cs="Arial"/>
          <w:color w:val="494949"/>
          <w:sz w:val="23"/>
          <w:szCs w:val="23"/>
          <w:lang w:eastAsia="en-NZ"/>
        </w:rPr>
      </w:pPr>
      <w:hyperlink r:id="rId13" w:history="1">
        <w:r w:rsidR="00745094" w:rsidRPr="00745094">
          <w:rPr>
            <w:rFonts w:ascii="Arial" w:eastAsia="Times New Roman" w:hAnsi="Arial" w:cs="Arial"/>
            <w:color w:val="0071B5"/>
            <w:sz w:val="23"/>
            <w:szCs w:val="23"/>
            <w:u w:val="single"/>
            <w:lang w:eastAsia="en-NZ"/>
          </w:rPr>
          <w:t>Hydrocortisone</w:t>
        </w:r>
      </w:hyperlink>
      <w:r w:rsidR="00745094" w:rsidRPr="00745094">
        <w:rPr>
          <w:rFonts w:ascii="Arial" w:eastAsia="Times New Roman" w:hAnsi="Arial" w:cs="Arial"/>
          <w:color w:val="494949"/>
          <w:sz w:val="23"/>
          <w:szCs w:val="23"/>
          <w:lang w:eastAsia="en-NZ"/>
        </w:rPr>
        <w:t> cream 1% can be used for up to seven days to treat uninfected inflammatory lesions on the lips. </w:t>
      </w:r>
      <w:hyperlink r:id="rId14" w:history="1">
        <w:r w:rsidR="00745094" w:rsidRPr="00745094">
          <w:rPr>
            <w:rFonts w:ascii="Arial" w:eastAsia="Times New Roman" w:hAnsi="Arial" w:cs="Arial"/>
            <w:color w:val="0071B5"/>
            <w:sz w:val="23"/>
            <w:szCs w:val="23"/>
            <w:u w:val="single"/>
            <w:lang w:eastAsia="en-NZ"/>
          </w:rPr>
          <w:t>Miconazole + hydrocortisone</w:t>
        </w:r>
      </w:hyperlink>
      <w:r w:rsidR="00745094" w:rsidRPr="00745094">
        <w:rPr>
          <w:rFonts w:ascii="Arial" w:eastAsia="Times New Roman" w:hAnsi="Arial" w:cs="Arial"/>
          <w:color w:val="494949"/>
          <w:sz w:val="23"/>
          <w:szCs w:val="23"/>
          <w:lang w:eastAsia="en-NZ"/>
        </w:rPr>
        <w:t> cream is useful where infection by susceptible organisms and inflammation co-exist, particularly for initial treatment (up to seven days) e.g. in </w:t>
      </w:r>
      <w:hyperlink r:id="rId15" w:anchor="nzf_6196" w:history="1">
        <w:r w:rsidR="00745094" w:rsidRPr="00745094">
          <w:rPr>
            <w:rFonts w:ascii="Arial" w:eastAsia="Times New Roman" w:hAnsi="Arial" w:cs="Arial"/>
            <w:color w:val="0071B5"/>
            <w:sz w:val="23"/>
            <w:szCs w:val="23"/>
            <w:u w:val="single"/>
            <w:lang w:eastAsia="en-NZ"/>
          </w:rPr>
          <w:t>angular cheilitis</w:t>
        </w:r>
      </w:hyperlink>
      <w:r w:rsidR="00745094" w:rsidRPr="00745094">
        <w:rPr>
          <w:rFonts w:ascii="Arial" w:eastAsia="Times New Roman" w:hAnsi="Arial" w:cs="Arial"/>
          <w:color w:val="494949"/>
          <w:sz w:val="23"/>
          <w:szCs w:val="23"/>
          <w:lang w:eastAsia="en-NZ"/>
        </w:rPr>
        <w:t>. Organisms susceptible to miconazole include Candida spp. and many Gram-positive bacteria including streptococci and staphylococci.</w:t>
      </w:r>
    </w:p>
    <w:p w14:paraId="2EC5D2C3" w14:textId="77777777" w:rsidR="00745094" w:rsidRPr="00745094" w:rsidRDefault="00745094" w:rsidP="00745094">
      <w:pPr>
        <w:shd w:val="clear" w:color="auto" w:fill="FFFFFF"/>
        <w:spacing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Children</w:t>
      </w:r>
    </w:p>
    <w:p w14:paraId="76333F3B" w14:textId="77777777" w:rsidR="00745094" w:rsidRPr="00745094" w:rsidRDefault="00745094" w:rsidP="00745094">
      <w:pPr>
        <w:shd w:val="clear" w:color="auto" w:fill="FFFFFF"/>
        <w:spacing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Children, especially infants, are particularly susceptible to adverse effects. However, concern about the safety of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in children should not result in the child being undertreated. The aim is to control the condition as well as possible; inadequate treatment will perpetuate the condition. A mild corticosteroid such as hydrocortisone 0.5% or 1% is useful for treating </w:t>
      </w:r>
      <w:hyperlink r:id="rId16" w:history="1">
        <w:r w:rsidRPr="00745094">
          <w:rPr>
            <w:rFonts w:ascii="Arial" w:eastAsia="Times New Roman" w:hAnsi="Arial" w:cs="Arial"/>
            <w:color w:val="0071B5"/>
            <w:sz w:val="23"/>
            <w:szCs w:val="23"/>
            <w:u w:val="single"/>
            <w:lang w:eastAsia="en-NZ"/>
          </w:rPr>
          <w:t>nappy rash</w:t>
        </w:r>
      </w:hyperlink>
      <w:r w:rsidRPr="00745094">
        <w:rPr>
          <w:rFonts w:ascii="Arial" w:eastAsia="Times New Roman" w:hAnsi="Arial" w:cs="Arial"/>
          <w:color w:val="494949"/>
          <w:sz w:val="23"/>
          <w:szCs w:val="23"/>
          <w:lang w:eastAsia="en-NZ"/>
        </w:rPr>
        <w:t> and hydrocortisone 1% may be used for atopic eczema in childhood (see </w:t>
      </w:r>
      <w:hyperlink r:id="rId17" w:history="1">
        <w:r w:rsidRPr="00745094">
          <w:rPr>
            <w:rFonts w:ascii="Arial" w:eastAsia="Times New Roman" w:hAnsi="Arial" w:cs="Arial"/>
            <w:color w:val="0071B5"/>
            <w:sz w:val="23"/>
            <w:szCs w:val="23"/>
            <w:u w:val="single"/>
            <w:lang w:eastAsia="en-NZ"/>
          </w:rPr>
          <w:t>Preparations for eczema</w:t>
        </w:r>
      </w:hyperlink>
      <w:r w:rsidRPr="00745094">
        <w:rPr>
          <w:rFonts w:ascii="Arial" w:eastAsia="Times New Roman" w:hAnsi="Arial" w:cs="Arial"/>
          <w:color w:val="494949"/>
          <w:sz w:val="23"/>
          <w:szCs w:val="23"/>
          <w:lang w:eastAsia="en-NZ"/>
        </w:rPr>
        <w:t>). A moderately potent or potent corticosteroid may be appropriate for severe atopic eczema on the limbs, for one to two weeks only, switching to a less potent preparation as the condition improves. In an acute flare-up of atopic eczema, it may be appropriate to use more potent formulations of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for a short period to regain control of the condition. Very potent corticosteroids such as betamethasone dipropionate are generally not recommended for eczema.</w:t>
      </w:r>
    </w:p>
    <w:p w14:paraId="270DA3B6" w14:textId="77777777" w:rsidR="00745094" w:rsidRPr="00745094" w:rsidRDefault="00745094" w:rsidP="00745094">
      <w:pPr>
        <w:shd w:val="clear" w:color="auto" w:fill="FFFFFF"/>
        <w:spacing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Choice of formulation</w:t>
      </w:r>
    </w:p>
    <w:p w14:paraId="514E3889"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Water-miscible corticosteroid </w:t>
      </w:r>
      <w:r w:rsidRPr="00745094">
        <w:rPr>
          <w:rFonts w:ascii="Arial" w:eastAsia="Times New Roman" w:hAnsi="Arial" w:cs="Arial"/>
          <w:i/>
          <w:iCs/>
          <w:color w:val="494949"/>
          <w:sz w:val="23"/>
          <w:szCs w:val="23"/>
          <w:lang w:eastAsia="en-NZ"/>
        </w:rPr>
        <w:t>creams</w:t>
      </w:r>
      <w:r w:rsidRPr="00745094">
        <w:rPr>
          <w:rFonts w:ascii="Arial" w:eastAsia="Times New Roman" w:hAnsi="Arial" w:cs="Arial"/>
          <w:color w:val="494949"/>
          <w:sz w:val="23"/>
          <w:szCs w:val="23"/>
          <w:lang w:eastAsia="en-NZ"/>
        </w:rPr>
        <w:t> are suitable for moist or weeping lesions whereas </w:t>
      </w:r>
      <w:r w:rsidRPr="00745094">
        <w:rPr>
          <w:rFonts w:ascii="Arial" w:eastAsia="Times New Roman" w:hAnsi="Arial" w:cs="Arial"/>
          <w:i/>
          <w:iCs/>
          <w:color w:val="494949"/>
          <w:sz w:val="23"/>
          <w:szCs w:val="23"/>
          <w:lang w:eastAsia="en-NZ"/>
        </w:rPr>
        <w:t>ointments</w:t>
      </w:r>
      <w:r w:rsidRPr="00745094">
        <w:rPr>
          <w:rFonts w:ascii="Arial" w:eastAsia="Times New Roman" w:hAnsi="Arial" w:cs="Arial"/>
          <w:color w:val="494949"/>
          <w:sz w:val="23"/>
          <w:szCs w:val="23"/>
          <w:lang w:eastAsia="en-NZ"/>
        </w:rPr>
        <w:t> are generally chosen for dry, lichenified or scaly lesions, or where a more occlusive effect is required. </w:t>
      </w:r>
      <w:r w:rsidRPr="00745094">
        <w:rPr>
          <w:rFonts w:ascii="Arial" w:eastAsia="Times New Roman" w:hAnsi="Arial" w:cs="Arial"/>
          <w:i/>
          <w:iCs/>
          <w:color w:val="494949"/>
          <w:sz w:val="23"/>
          <w:szCs w:val="23"/>
          <w:lang w:eastAsia="en-NZ"/>
        </w:rPr>
        <w:t>Lotions</w:t>
      </w:r>
      <w:r w:rsidRPr="00745094">
        <w:rPr>
          <w:rFonts w:ascii="Arial" w:eastAsia="Times New Roman" w:hAnsi="Arial" w:cs="Arial"/>
          <w:color w:val="494949"/>
          <w:sz w:val="23"/>
          <w:szCs w:val="23"/>
          <w:lang w:eastAsia="en-NZ"/>
        </w:rPr>
        <w:t> may be useful when minimal application to a large or hair-bearing area is required or for the treatment of exudative lesions. </w:t>
      </w:r>
      <w:r w:rsidRPr="00745094">
        <w:rPr>
          <w:rFonts w:ascii="Arial" w:eastAsia="Times New Roman" w:hAnsi="Arial" w:cs="Arial"/>
          <w:i/>
          <w:iCs/>
          <w:color w:val="494949"/>
          <w:sz w:val="23"/>
          <w:szCs w:val="23"/>
          <w:lang w:eastAsia="en-NZ"/>
        </w:rPr>
        <w:t>Occlusive polythene or hydrocolloid dressings</w:t>
      </w:r>
      <w:r w:rsidRPr="00745094">
        <w:rPr>
          <w:rFonts w:ascii="Arial" w:eastAsia="Times New Roman" w:hAnsi="Arial" w:cs="Arial"/>
          <w:color w:val="494949"/>
          <w:sz w:val="23"/>
          <w:szCs w:val="23"/>
          <w:lang w:eastAsia="en-NZ"/>
        </w:rPr>
        <w:t> increase absorption, but also increase the risk of adverse effects; they are therefore used only under supervision on a short-term basis for areas of very thick skin (such as the palms and soles). The inclusion of urea or salicylic acid also increases the penetration of the corticosteroid.</w:t>
      </w:r>
    </w:p>
    <w:p w14:paraId="40DBBB2F"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 xml:space="preserve">Combination topical products that contain anti-infective(s) and a corticosteroid may be useful for inflammatory skin conditions complicated by bacterial or </w:t>
      </w:r>
      <w:proofErr w:type="spellStart"/>
      <w:r w:rsidRPr="00745094">
        <w:rPr>
          <w:rFonts w:ascii="Arial" w:eastAsia="Times New Roman" w:hAnsi="Arial" w:cs="Arial"/>
          <w:color w:val="494949"/>
          <w:sz w:val="23"/>
          <w:szCs w:val="23"/>
          <w:lang w:eastAsia="en-NZ"/>
        </w:rPr>
        <w:t>candidal</w:t>
      </w:r>
      <w:proofErr w:type="spellEnd"/>
      <w:r w:rsidRPr="00745094">
        <w:rPr>
          <w:rFonts w:ascii="Arial" w:eastAsia="Times New Roman" w:hAnsi="Arial" w:cs="Arial"/>
          <w:color w:val="494949"/>
          <w:sz w:val="23"/>
          <w:szCs w:val="23"/>
          <w:lang w:eastAsia="en-NZ"/>
        </w:rPr>
        <w:t xml:space="preserve"> infection, however inappropriate use of these preparations can promote antibiotic resistance (see </w:t>
      </w:r>
      <w:hyperlink r:id="rId18" w:history="1">
        <w:r w:rsidRPr="00745094">
          <w:rPr>
            <w:rFonts w:ascii="Arial" w:eastAsia="Times New Roman" w:hAnsi="Arial" w:cs="Arial"/>
            <w:color w:val="0071B5"/>
            <w:sz w:val="23"/>
            <w:szCs w:val="23"/>
            <w:u w:val="single"/>
            <w:lang w:eastAsia="en-NZ"/>
          </w:rPr>
          <w:t>Anti-infective skin preparations</w:t>
        </w:r>
      </w:hyperlink>
      <w:r w:rsidRPr="00745094">
        <w:rPr>
          <w:rFonts w:ascii="Arial" w:eastAsia="Times New Roman" w:hAnsi="Arial" w:cs="Arial"/>
          <w:color w:val="494949"/>
          <w:sz w:val="23"/>
          <w:szCs w:val="23"/>
          <w:lang w:eastAsia="en-NZ"/>
        </w:rPr>
        <w:t>, and </w:t>
      </w:r>
      <w:hyperlink r:id="rId19" w:tgtFrame="_blank" w:history="1">
        <w:r w:rsidRPr="00745094">
          <w:rPr>
            <w:rFonts w:ascii="Arial" w:eastAsia="Times New Roman" w:hAnsi="Arial" w:cs="Arial"/>
            <w:color w:val="0071B5"/>
            <w:sz w:val="23"/>
            <w:szCs w:val="23"/>
            <w:u w:val="single"/>
            <w:lang w:eastAsia="en-NZ"/>
          </w:rPr>
          <w:t>Topical antibiotics for skin infections: when are they appropriate?</w:t>
        </w:r>
      </w:hyperlink>
      <w:r w:rsidRPr="00745094">
        <w:rPr>
          <w:rFonts w:ascii="Arial" w:eastAsia="Times New Roman" w:hAnsi="Arial" w:cs="Arial"/>
          <w:color w:val="494949"/>
          <w:sz w:val="23"/>
          <w:szCs w:val="23"/>
          <w:lang w:eastAsia="en-NZ"/>
        </w:rPr>
        <w:t> </w:t>
      </w:r>
      <w:proofErr w:type="spellStart"/>
      <w:r w:rsidRPr="00745094">
        <w:rPr>
          <w:rFonts w:ascii="Arial" w:eastAsia="Times New Roman" w:hAnsi="Arial" w:cs="Arial"/>
          <w:color w:val="494949"/>
          <w:sz w:val="23"/>
          <w:szCs w:val="23"/>
          <w:lang w:eastAsia="en-NZ"/>
        </w:rPr>
        <w:t>bpac</w:t>
      </w:r>
      <w:r w:rsidRPr="00745094">
        <w:rPr>
          <w:rFonts w:ascii="Arial" w:eastAsia="Times New Roman" w:hAnsi="Arial" w:cs="Arial"/>
          <w:color w:val="494949"/>
          <w:sz w:val="15"/>
          <w:szCs w:val="15"/>
          <w:vertAlign w:val="superscript"/>
          <w:lang w:eastAsia="en-NZ"/>
        </w:rPr>
        <w:t>nz</w:t>
      </w:r>
      <w:proofErr w:type="spellEnd"/>
      <w:r w:rsidRPr="00745094">
        <w:rPr>
          <w:rFonts w:ascii="Arial" w:eastAsia="Times New Roman" w:hAnsi="Arial" w:cs="Arial"/>
          <w:color w:val="494949"/>
          <w:sz w:val="23"/>
          <w:szCs w:val="23"/>
          <w:lang w:eastAsia="en-NZ"/>
        </w:rPr>
        <w:t>, February 2017).</w:t>
      </w:r>
    </w:p>
    <w:p w14:paraId="48A8C4A1" w14:textId="77777777" w:rsidR="00745094" w:rsidRPr="00745094" w:rsidRDefault="00745094" w:rsidP="00745094">
      <w:pPr>
        <w:shd w:val="clear" w:color="auto" w:fill="FFFFFF"/>
        <w:spacing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lastRenderedPageBreak/>
        <w:t>In the NZF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for the skin are categorised as ‘</w:t>
      </w:r>
      <w:r w:rsidRPr="00745094">
        <w:rPr>
          <w:rFonts w:ascii="Arial" w:eastAsia="Times New Roman" w:hAnsi="Arial" w:cs="Arial"/>
          <w:i/>
          <w:iCs/>
          <w:color w:val="494949"/>
          <w:sz w:val="23"/>
          <w:szCs w:val="23"/>
          <w:lang w:eastAsia="en-NZ"/>
        </w:rPr>
        <w:t>mild</w:t>
      </w:r>
      <w:r w:rsidRPr="00745094">
        <w:rPr>
          <w:rFonts w:ascii="Arial" w:eastAsia="Times New Roman" w:hAnsi="Arial" w:cs="Arial"/>
          <w:color w:val="494949"/>
          <w:sz w:val="23"/>
          <w:szCs w:val="23"/>
          <w:lang w:eastAsia="en-NZ"/>
        </w:rPr>
        <w:t>’, ‘</w:t>
      </w:r>
      <w:r w:rsidRPr="00745094">
        <w:rPr>
          <w:rFonts w:ascii="Arial" w:eastAsia="Times New Roman" w:hAnsi="Arial" w:cs="Arial"/>
          <w:i/>
          <w:iCs/>
          <w:color w:val="494949"/>
          <w:sz w:val="23"/>
          <w:szCs w:val="23"/>
          <w:lang w:eastAsia="en-NZ"/>
        </w:rPr>
        <w:t>moderately potent</w:t>
      </w:r>
      <w:r w:rsidRPr="00745094">
        <w:rPr>
          <w:rFonts w:ascii="Arial" w:eastAsia="Times New Roman" w:hAnsi="Arial" w:cs="Arial"/>
          <w:color w:val="494949"/>
          <w:sz w:val="23"/>
          <w:szCs w:val="23"/>
          <w:lang w:eastAsia="en-NZ"/>
        </w:rPr>
        <w:t>’, ‘</w:t>
      </w:r>
      <w:r w:rsidRPr="00745094">
        <w:rPr>
          <w:rFonts w:ascii="Arial" w:eastAsia="Times New Roman" w:hAnsi="Arial" w:cs="Arial"/>
          <w:i/>
          <w:iCs/>
          <w:color w:val="494949"/>
          <w:sz w:val="23"/>
          <w:szCs w:val="23"/>
          <w:lang w:eastAsia="en-NZ"/>
        </w:rPr>
        <w:t>potent</w:t>
      </w:r>
      <w:r w:rsidRPr="00745094">
        <w:rPr>
          <w:rFonts w:ascii="Arial" w:eastAsia="Times New Roman" w:hAnsi="Arial" w:cs="Arial"/>
          <w:color w:val="494949"/>
          <w:sz w:val="23"/>
          <w:szCs w:val="23"/>
          <w:lang w:eastAsia="en-NZ"/>
        </w:rPr>
        <w:t>’, or ‘</w:t>
      </w:r>
      <w:r w:rsidRPr="00745094">
        <w:rPr>
          <w:rFonts w:ascii="Arial" w:eastAsia="Times New Roman" w:hAnsi="Arial" w:cs="Arial"/>
          <w:i/>
          <w:iCs/>
          <w:color w:val="494949"/>
          <w:sz w:val="23"/>
          <w:szCs w:val="23"/>
          <w:lang w:eastAsia="en-NZ"/>
        </w:rPr>
        <w:t>very potent</w:t>
      </w:r>
      <w:r w:rsidRPr="00745094">
        <w:rPr>
          <w:rFonts w:ascii="Arial" w:eastAsia="Times New Roman" w:hAnsi="Arial" w:cs="Arial"/>
          <w:color w:val="494949"/>
          <w:sz w:val="23"/>
          <w:szCs w:val="23"/>
          <w:lang w:eastAsia="en-NZ"/>
        </w:rPr>
        <w:t>’ (see </w:t>
      </w:r>
      <w:hyperlink r:id="rId20" w:history="1">
        <w:r w:rsidRPr="00745094">
          <w:rPr>
            <w:rFonts w:ascii="Arial" w:eastAsia="Times New Roman" w:hAnsi="Arial" w:cs="Arial"/>
            <w:color w:val="0071B5"/>
            <w:sz w:val="23"/>
            <w:szCs w:val="23"/>
            <w:u w:val="single"/>
            <w:lang w:eastAsia="en-NZ"/>
          </w:rPr>
          <w:t>Topical corticosteroid preparation potencies</w:t>
        </w:r>
      </w:hyperlink>
      <w:r w:rsidRPr="00745094">
        <w:rPr>
          <w:rFonts w:ascii="Arial" w:eastAsia="Times New Roman" w:hAnsi="Arial" w:cs="Arial"/>
          <w:color w:val="494949"/>
          <w:sz w:val="23"/>
          <w:szCs w:val="23"/>
          <w:lang w:eastAsia="en-NZ"/>
        </w:rPr>
        <w:t>). The </w:t>
      </w:r>
      <w:r w:rsidRPr="00745094">
        <w:rPr>
          <w:rFonts w:ascii="Arial" w:eastAsia="Times New Roman" w:hAnsi="Arial" w:cs="Arial"/>
          <w:b/>
          <w:bCs/>
          <w:color w:val="444444"/>
          <w:sz w:val="23"/>
          <w:szCs w:val="23"/>
          <w:lang w:eastAsia="en-NZ"/>
        </w:rPr>
        <w:t>least potent</w:t>
      </w:r>
      <w:r w:rsidRPr="00745094">
        <w:rPr>
          <w:rFonts w:ascii="Arial" w:eastAsia="Times New Roman" w:hAnsi="Arial" w:cs="Arial"/>
          <w:color w:val="494949"/>
          <w:sz w:val="23"/>
          <w:szCs w:val="23"/>
          <w:lang w:eastAsia="en-NZ"/>
        </w:rPr>
        <w:t> preparation which is effective should be chosen, and dilution should be avoided. Diluting a topical corticosteroid with an emollient </w:t>
      </w:r>
      <w:r w:rsidRPr="00745094">
        <w:rPr>
          <w:rFonts w:ascii="Arial" w:eastAsia="Times New Roman" w:hAnsi="Arial" w:cs="Arial"/>
          <w:b/>
          <w:bCs/>
          <w:color w:val="444444"/>
          <w:sz w:val="23"/>
          <w:szCs w:val="23"/>
          <w:lang w:eastAsia="en-NZ"/>
        </w:rPr>
        <w:t>does not</w:t>
      </w:r>
      <w:r w:rsidRPr="00745094">
        <w:rPr>
          <w:rFonts w:ascii="Arial" w:eastAsia="Times New Roman" w:hAnsi="Arial" w:cs="Arial"/>
          <w:color w:val="494949"/>
          <w:sz w:val="23"/>
          <w:szCs w:val="23"/>
          <w:lang w:eastAsia="en-NZ"/>
        </w:rPr>
        <w:t> result in a less potent medicine (potency is related to factors other than just the concentration of the formulation) and may promote excessive use leading to an increased risk of systemic absorption or adverse effects (see also Adverse effects below).</w:t>
      </w:r>
    </w:p>
    <w:p w14:paraId="0D8C2411" w14:textId="77777777" w:rsidR="00745094" w:rsidRPr="00745094" w:rsidRDefault="00745094" w:rsidP="00745094">
      <w:pPr>
        <w:shd w:val="clear" w:color="auto" w:fill="FFFFFF"/>
        <w:spacing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Cautions</w:t>
      </w:r>
    </w:p>
    <w:p w14:paraId="54504FE7"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Avoid prolonged use of a topical corticosteroid on the face (and keep away from eyes). In children avoid prolonged use and use potent or very potent corticosteroids under specialist supervision; extreme caution is required in dermatoses of infancy including </w:t>
      </w:r>
      <w:hyperlink r:id="rId21" w:history="1">
        <w:r w:rsidRPr="00745094">
          <w:rPr>
            <w:rFonts w:ascii="Arial" w:eastAsia="Times New Roman" w:hAnsi="Arial" w:cs="Arial"/>
            <w:color w:val="0071B5"/>
            <w:sz w:val="23"/>
            <w:szCs w:val="23"/>
            <w:u w:val="single"/>
            <w:lang w:eastAsia="en-NZ"/>
          </w:rPr>
          <w:t>nappy rash</w:t>
        </w:r>
      </w:hyperlink>
      <w:r w:rsidRPr="00745094">
        <w:rPr>
          <w:rFonts w:ascii="Arial" w:eastAsia="Times New Roman" w:hAnsi="Arial" w:cs="Arial"/>
          <w:color w:val="494949"/>
          <w:sz w:val="23"/>
          <w:szCs w:val="23"/>
          <w:lang w:eastAsia="en-NZ"/>
        </w:rPr>
        <w:t>—treatment should be limited to five to seven days.</w:t>
      </w:r>
    </w:p>
    <w:p w14:paraId="281645CF" w14:textId="77777777" w:rsidR="00745094" w:rsidRPr="00745094" w:rsidRDefault="00745094" w:rsidP="00745094">
      <w:pPr>
        <w:shd w:val="clear" w:color="auto" w:fill="FFFFFF"/>
        <w:spacing w:after="0" w:line="240" w:lineRule="auto"/>
        <w:ind w:right="-45"/>
        <w:rPr>
          <w:rFonts w:ascii="Arial" w:eastAsia="Times New Roman" w:hAnsi="Arial" w:cs="Arial"/>
          <w:b/>
          <w:bCs/>
          <w:color w:val="0071B5"/>
          <w:sz w:val="21"/>
          <w:szCs w:val="21"/>
          <w:lang w:eastAsia="en-NZ"/>
        </w:rPr>
      </w:pPr>
      <w:r w:rsidRPr="00745094">
        <w:rPr>
          <w:rFonts w:ascii="Arial" w:eastAsia="Times New Roman" w:hAnsi="Arial" w:cs="Arial"/>
          <w:b/>
          <w:bCs/>
          <w:color w:val="0071B5"/>
          <w:sz w:val="21"/>
          <w:szCs w:val="21"/>
          <w:lang w:eastAsia="en-NZ"/>
        </w:rPr>
        <w:t>Psoriasis</w:t>
      </w:r>
    </w:p>
    <w:p w14:paraId="7980D775" w14:textId="77777777" w:rsidR="00745094" w:rsidRPr="00745094" w:rsidRDefault="00745094" w:rsidP="00745094">
      <w:pPr>
        <w:shd w:val="clear" w:color="auto" w:fill="FFFFFF"/>
        <w:spacing w:after="0" w:line="240" w:lineRule="auto"/>
        <w:rPr>
          <w:rFonts w:ascii="Arial" w:eastAsia="Times New Roman" w:hAnsi="Arial" w:cs="Arial"/>
          <w:color w:val="494949"/>
          <w:sz w:val="21"/>
          <w:szCs w:val="21"/>
          <w:lang w:eastAsia="en-NZ"/>
        </w:rPr>
      </w:pPr>
      <w:r w:rsidRPr="00745094">
        <w:rPr>
          <w:rFonts w:ascii="Arial" w:eastAsia="Times New Roman" w:hAnsi="Arial" w:cs="Arial"/>
          <w:color w:val="494949"/>
          <w:sz w:val="21"/>
          <w:szCs w:val="21"/>
          <w:lang w:eastAsia="en-NZ"/>
        </w:rPr>
        <w:t> </w:t>
      </w:r>
    </w:p>
    <w:p w14:paraId="5ED6ABB9" w14:textId="77777777" w:rsidR="00745094" w:rsidRPr="00745094" w:rsidRDefault="00745094" w:rsidP="00745094">
      <w:pPr>
        <w:shd w:val="clear" w:color="auto" w:fill="FFFFFF"/>
        <w:spacing w:line="240" w:lineRule="auto"/>
        <w:rPr>
          <w:rFonts w:ascii="Arial" w:eastAsia="Times New Roman" w:hAnsi="Arial" w:cs="Arial"/>
          <w:color w:val="494949"/>
          <w:sz w:val="21"/>
          <w:szCs w:val="21"/>
          <w:lang w:eastAsia="en-NZ"/>
        </w:rPr>
      </w:pPr>
      <w:r w:rsidRPr="00745094">
        <w:rPr>
          <w:rFonts w:ascii="Arial" w:eastAsia="Times New Roman" w:hAnsi="Arial" w:cs="Arial"/>
          <w:color w:val="494949"/>
          <w:sz w:val="21"/>
          <w:szCs w:val="21"/>
          <w:lang w:eastAsia="en-NZ"/>
        </w:rPr>
        <w:t>The use of potent or very potent corticosteroids in </w:t>
      </w:r>
      <w:hyperlink r:id="rId22" w:history="1">
        <w:r w:rsidRPr="00745094">
          <w:rPr>
            <w:rFonts w:ascii="Arial" w:eastAsia="Times New Roman" w:hAnsi="Arial" w:cs="Arial"/>
            <w:color w:val="0071B5"/>
            <w:sz w:val="21"/>
            <w:szCs w:val="21"/>
            <w:u w:val="single"/>
            <w:lang w:eastAsia="en-NZ"/>
          </w:rPr>
          <w:t>psoriasis</w:t>
        </w:r>
      </w:hyperlink>
      <w:r w:rsidRPr="00745094">
        <w:rPr>
          <w:rFonts w:ascii="Arial" w:eastAsia="Times New Roman" w:hAnsi="Arial" w:cs="Arial"/>
          <w:color w:val="494949"/>
          <w:sz w:val="21"/>
          <w:szCs w:val="21"/>
          <w:lang w:eastAsia="en-NZ"/>
        </w:rPr>
        <w:t> can result in rebound relapse, development of generalised pustular psoriasis, and local and systemic toxicity.</w:t>
      </w:r>
    </w:p>
    <w:p w14:paraId="6C86BABC" w14:textId="77777777" w:rsidR="00745094" w:rsidRPr="00745094" w:rsidRDefault="00745094" w:rsidP="00745094">
      <w:pPr>
        <w:shd w:val="clear" w:color="auto" w:fill="FFFFFF"/>
        <w:spacing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Contra-indications</w:t>
      </w:r>
    </w:p>
    <w:p w14:paraId="07B6B908" w14:textId="77777777" w:rsidR="00745094" w:rsidRPr="00745094" w:rsidRDefault="00745094" w:rsidP="00745094">
      <w:pPr>
        <w:shd w:val="clear" w:color="auto" w:fill="FFFFFF"/>
        <w:spacing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are contra-indicated in untreated bacterial, fungal, or viral skin lesions, in acne, in rosacea, and in perioral dermatitis; potent corticosteroids are contra-indicated in widespread plaque psoriasis (see notes above).</w:t>
      </w:r>
    </w:p>
    <w:p w14:paraId="07E52FC4" w14:textId="77777777" w:rsidR="00745094" w:rsidRPr="00745094" w:rsidRDefault="00745094" w:rsidP="00745094">
      <w:pPr>
        <w:shd w:val="clear" w:color="auto" w:fill="FFFFFF"/>
        <w:spacing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Adverse effects</w:t>
      </w:r>
    </w:p>
    <w:p w14:paraId="7E662D18"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b/>
          <w:bCs/>
          <w:color w:val="444444"/>
          <w:sz w:val="23"/>
          <w:szCs w:val="23"/>
          <w:lang w:eastAsia="en-NZ"/>
        </w:rPr>
        <w:t>Local adverse effects</w:t>
      </w:r>
      <w:r w:rsidRPr="00745094">
        <w:rPr>
          <w:rFonts w:ascii="Arial" w:eastAsia="Times New Roman" w:hAnsi="Arial" w:cs="Arial"/>
          <w:color w:val="494949"/>
          <w:sz w:val="23"/>
          <w:szCs w:val="23"/>
          <w:lang w:eastAsia="en-NZ"/>
        </w:rPr>
        <w:t> are rarely observed with </w:t>
      </w:r>
      <w:r w:rsidRPr="00745094">
        <w:rPr>
          <w:rFonts w:ascii="Arial" w:eastAsia="Times New Roman" w:hAnsi="Arial" w:cs="Arial"/>
          <w:i/>
          <w:iCs/>
          <w:color w:val="494949"/>
          <w:sz w:val="23"/>
          <w:szCs w:val="23"/>
          <w:lang w:eastAsia="en-NZ"/>
        </w:rPr>
        <w:t>mild</w:t>
      </w:r>
      <w:r w:rsidRPr="00745094">
        <w:rPr>
          <w:rFonts w:ascii="Arial" w:eastAsia="Times New Roman" w:hAnsi="Arial" w:cs="Arial"/>
          <w:color w:val="494949"/>
          <w:sz w:val="23"/>
          <w:szCs w:val="23"/>
          <w:lang w:eastAsia="en-NZ"/>
        </w:rPr>
        <w:t> and </w:t>
      </w:r>
      <w:r w:rsidRPr="00745094">
        <w:rPr>
          <w:rFonts w:ascii="Arial" w:eastAsia="Times New Roman" w:hAnsi="Arial" w:cs="Arial"/>
          <w:i/>
          <w:iCs/>
          <w:color w:val="494949"/>
          <w:sz w:val="23"/>
          <w:szCs w:val="23"/>
          <w:lang w:eastAsia="en-NZ"/>
        </w:rPr>
        <w:t>moderately potent</w:t>
      </w:r>
      <w:r w:rsidRPr="00745094">
        <w:rPr>
          <w:rFonts w:ascii="Arial" w:eastAsia="Times New Roman" w:hAnsi="Arial" w:cs="Arial"/>
          <w:color w:val="494949"/>
          <w:sz w:val="23"/>
          <w:szCs w:val="23"/>
          <w:lang w:eastAsia="en-NZ"/>
        </w:rPr>
        <w:t> topical corticosteroid use, but care is required with the use of </w:t>
      </w:r>
      <w:r w:rsidRPr="00745094">
        <w:rPr>
          <w:rFonts w:ascii="Arial" w:eastAsia="Times New Roman" w:hAnsi="Arial" w:cs="Arial"/>
          <w:i/>
          <w:iCs/>
          <w:color w:val="494949"/>
          <w:sz w:val="23"/>
          <w:szCs w:val="23"/>
          <w:lang w:eastAsia="en-NZ"/>
        </w:rPr>
        <w:t>potent</w:t>
      </w:r>
      <w:r w:rsidRPr="00745094">
        <w:rPr>
          <w:rFonts w:ascii="Arial" w:eastAsia="Times New Roman" w:hAnsi="Arial" w:cs="Arial"/>
          <w:color w:val="494949"/>
          <w:sz w:val="23"/>
          <w:szCs w:val="23"/>
          <w:lang w:eastAsia="en-NZ"/>
        </w:rPr>
        <w:t> and </w:t>
      </w:r>
      <w:r w:rsidRPr="00745094">
        <w:rPr>
          <w:rFonts w:ascii="Arial" w:eastAsia="Times New Roman" w:hAnsi="Arial" w:cs="Arial"/>
          <w:i/>
          <w:iCs/>
          <w:color w:val="494949"/>
          <w:sz w:val="23"/>
          <w:szCs w:val="23"/>
          <w:lang w:eastAsia="en-NZ"/>
        </w:rPr>
        <w:t>very potent</w:t>
      </w:r>
      <w:r w:rsidRPr="00745094">
        <w:rPr>
          <w:rFonts w:ascii="Arial" w:eastAsia="Times New Roman" w:hAnsi="Arial" w:cs="Arial"/>
          <w:color w:val="494949"/>
          <w:sz w:val="23"/>
          <w:szCs w:val="23"/>
          <w:lang w:eastAsia="en-NZ"/>
        </w:rPr>
        <w:t> corticosteroids. Local adverse effects include:</w:t>
      </w:r>
    </w:p>
    <w:p w14:paraId="30DCE915" w14:textId="77777777" w:rsidR="00745094" w:rsidRPr="00745094" w:rsidRDefault="00745094" w:rsidP="00745094">
      <w:pPr>
        <w:numPr>
          <w:ilvl w:val="0"/>
          <w:numId w:val="6"/>
        </w:numPr>
        <w:shd w:val="clear" w:color="auto" w:fill="FFFFFF"/>
        <w:spacing w:after="0"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perioral dermatitis;</w:t>
      </w:r>
    </w:p>
    <w:p w14:paraId="25E68BBE" w14:textId="77777777" w:rsidR="00745094" w:rsidRPr="00745094" w:rsidRDefault="00745094" w:rsidP="00745094">
      <w:pPr>
        <w:numPr>
          <w:ilvl w:val="0"/>
          <w:numId w:val="6"/>
        </w:numPr>
        <w:shd w:val="clear" w:color="auto" w:fill="FFFFFF"/>
        <w:spacing w:before="100" w:beforeAutospacing="1" w:after="100" w:afterAutospacing="1"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spread and worsening of untreated infection;</w:t>
      </w:r>
    </w:p>
    <w:p w14:paraId="188BCBF2" w14:textId="77777777" w:rsidR="00745094" w:rsidRPr="00745094" w:rsidRDefault="00745094" w:rsidP="00745094">
      <w:pPr>
        <w:numPr>
          <w:ilvl w:val="0"/>
          <w:numId w:val="6"/>
        </w:numPr>
        <w:shd w:val="clear" w:color="auto" w:fill="FFFFFF"/>
        <w:spacing w:after="0"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thinning of the skin which may be restored gradually after stopping treatment, but the original skin structure may never return;</w:t>
      </w:r>
    </w:p>
    <w:p w14:paraId="461BC72C" w14:textId="77777777" w:rsidR="00745094" w:rsidRPr="00745094" w:rsidRDefault="00745094" w:rsidP="00745094">
      <w:pPr>
        <w:numPr>
          <w:ilvl w:val="0"/>
          <w:numId w:val="6"/>
        </w:numPr>
        <w:shd w:val="clear" w:color="auto" w:fill="FFFFFF"/>
        <w:spacing w:after="0"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 xml:space="preserve">irreversible striae </w:t>
      </w:r>
      <w:proofErr w:type="spellStart"/>
      <w:r w:rsidRPr="00745094">
        <w:rPr>
          <w:rFonts w:ascii="Arial" w:eastAsia="Times New Roman" w:hAnsi="Arial" w:cs="Arial"/>
          <w:color w:val="494949"/>
          <w:sz w:val="23"/>
          <w:szCs w:val="23"/>
          <w:lang w:eastAsia="en-NZ"/>
        </w:rPr>
        <w:t>atrophicae</w:t>
      </w:r>
      <w:proofErr w:type="spellEnd"/>
      <w:r w:rsidRPr="00745094">
        <w:rPr>
          <w:rFonts w:ascii="Arial" w:eastAsia="Times New Roman" w:hAnsi="Arial" w:cs="Arial"/>
          <w:color w:val="494949"/>
          <w:sz w:val="23"/>
          <w:szCs w:val="23"/>
          <w:lang w:eastAsia="en-NZ"/>
        </w:rPr>
        <w:t xml:space="preserve"> and telangiectasia;</w:t>
      </w:r>
    </w:p>
    <w:p w14:paraId="32B4CF08" w14:textId="77777777" w:rsidR="00745094" w:rsidRPr="00745094" w:rsidRDefault="00745094" w:rsidP="00745094">
      <w:pPr>
        <w:numPr>
          <w:ilvl w:val="0"/>
          <w:numId w:val="6"/>
        </w:numPr>
        <w:shd w:val="clear" w:color="auto" w:fill="FFFFFF"/>
        <w:spacing w:after="0"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contact dermatitis;</w:t>
      </w:r>
    </w:p>
    <w:p w14:paraId="5D773CE6" w14:textId="77777777" w:rsidR="00745094" w:rsidRPr="00745094" w:rsidRDefault="00745094" w:rsidP="00745094">
      <w:pPr>
        <w:numPr>
          <w:ilvl w:val="0"/>
          <w:numId w:val="6"/>
        </w:numPr>
        <w:shd w:val="clear" w:color="auto" w:fill="FFFFFF"/>
        <w:spacing w:after="0"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acne/worsening of acne or rosacea;</w:t>
      </w:r>
    </w:p>
    <w:p w14:paraId="426818F9" w14:textId="77777777" w:rsidR="00745094" w:rsidRPr="00745094" w:rsidRDefault="00745094" w:rsidP="00745094">
      <w:pPr>
        <w:numPr>
          <w:ilvl w:val="0"/>
          <w:numId w:val="6"/>
        </w:numPr>
        <w:shd w:val="clear" w:color="auto" w:fill="FFFFFF"/>
        <w:spacing w:after="0"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mild depigmentation (which may be reversible);</w:t>
      </w:r>
    </w:p>
    <w:p w14:paraId="2E92E4FF" w14:textId="77777777" w:rsidR="00745094" w:rsidRPr="00745094" w:rsidRDefault="00745094" w:rsidP="00745094">
      <w:pPr>
        <w:numPr>
          <w:ilvl w:val="0"/>
          <w:numId w:val="6"/>
        </w:numPr>
        <w:shd w:val="clear" w:color="auto" w:fill="FFFFFF"/>
        <w:spacing w:after="0"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hypertrichosis also reported.</w:t>
      </w:r>
    </w:p>
    <w:p w14:paraId="5467CAA0"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b/>
          <w:bCs/>
          <w:color w:val="444444"/>
          <w:sz w:val="23"/>
          <w:szCs w:val="23"/>
          <w:lang w:eastAsia="en-NZ"/>
        </w:rPr>
        <w:t>Adrenal suppression</w:t>
      </w:r>
      <w:r w:rsidRPr="00745094">
        <w:rPr>
          <w:rFonts w:ascii="Arial" w:eastAsia="Times New Roman" w:hAnsi="Arial" w:cs="Arial"/>
          <w:color w:val="494949"/>
          <w:sz w:val="23"/>
          <w:szCs w:val="23"/>
          <w:lang w:eastAsia="en-NZ"/>
        </w:rPr>
        <w:t> due to systemic absorption is rarely reported with topical corticosteroid use, but can lead to reversible hypothalamic-pituitary adrenal (HPA) axis suppression, </w:t>
      </w:r>
      <w:hyperlink r:id="rId23" w:history="1">
        <w:r w:rsidRPr="00745094">
          <w:rPr>
            <w:rFonts w:ascii="Arial" w:eastAsia="Times New Roman" w:hAnsi="Arial" w:cs="Arial"/>
            <w:color w:val="0071B5"/>
            <w:sz w:val="23"/>
            <w:szCs w:val="23"/>
            <w:u w:val="single"/>
            <w:lang w:eastAsia="en-NZ"/>
          </w:rPr>
          <w:t>Cushing’s syndrome</w:t>
        </w:r>
      </w:hyperlink>
      <w:r w:rsidRPr="00745094">
        <w:rPr>
          <w:rFonts w:ascii="Arial" w:eastAsia="Times New Roman" w:hAnsi="Arial" w:cs="Arial"/>
          <w:color w:val="494949"/>
          <w:sz w:val="23"/>
          <w:szCs w:val="23"/>
          <w:lang w:eastAsia="en-NZ"/>
        </w:rPr>
        <w:t>, and adrenal insufficiency. When adrenal suppression with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occurs it is most often caused by inappropriate use, i.e., long-term application of excessive quantities (see </w:t>
      </w:r>
      <w:hyperlink r:id="rId24" w:anchor="nzf_6283" w:history="1">
        <w:r w:rsidRPr="00745094">
          <w:rPr>
            <w:rFonts w:ascii="Arial" w:eastAsia="Times New Roman" w:hAnsi="Arial" w:cs="Arial"/>
            <w:color w:val="0071B5"/>
            <w:sz w:val="23"/>
            <w:szCs w:val="23"/>
            <w:u w:val="single"/>
            <w:lang w:eastAsia="en-NZ"/>
          </w:rPr>
          <w:t>Application</w:t>
        </w:r>
      </w:hyperlink>
      <w:r w:rsidRPr="00745094">
        <w:rPr>
          <w:rFonts w:ascii="Arial" w:eastAsia="Times New Roman" w:hAnsi="Arial" w:cs="Arial"/>
          <w:color w:val="494949"/>
          <w:sz w:val="23"/>
          <w:szCs w:val="23"/>
          <w:lang w:eastAsia="en-NZ"/>
        </w:rPr>
        <w:t> for appropriate amounts); almost all cases occur with use of </w:t>
      </w:r>
      <w:r w:rsidRPr="00745094">
        <w:rPr>
          <w:rFonts w:ascii="Arial" w:eastAsia="Times New Roman" w:hAnsi="Arial" w:cs="Arial"/>
          <w:i/>
          <w:iCs/>
          <w:color w:val="494949"/>
          <w:sz w:val="23"/>
          <w:szCs w:val="23"/>
          <w:lang w:eastAsia="en-NZ"/>
        </w:rPr>
        <w:t>potent</w:t>
      </w:r>
      <w:r w:rsidRPr="00745094">
        <w:rPr>
          <w:rFonts w:ascii="Arial" w:eastAsia="Times New Roman" w:hAnsi="Arial" w:cs="Arial"/>
          <w:color w:val="494949"/>
          <w:sz w:val="23"/>
          <w:szCs w:val="23"/>
          <w:lang w:eastAsia="en-NZ"/>
        </w:rPr>
        <w:t> or </w:t>
      </w:r>
      <w:r w:rsidRPr="00745094">
        <w:rPr>
          <w:rFonts w:ascii="Arial" w:eastAsia="Times New Roman" w:hAnsi="Arial" w:cs="Arial"/>
          <w:i/>
          <w:iCs/>
          <w:color w:val="494949"/>
          <w:sz w:val="23"/>
          <w:szCs w:val="23"/>
          <w:lang w:eastAsia="en-NZ"/>
        </w:rPr>
        <w:t>very poten</w:t>
      </w:r>
      <w:r w:rsidRPr="00745094">
        <w:rPr>
          <w:rFonts w:ascii="Arial" w:eastAsia="Times New Roman" w:hAnsi="Arial" w:cs="Arial"/>
          <w:color w:val="494949"/>
          <w:sz w:val="23"/>
          <w:szCs w:val="23"/>
          <w:lang w:eastAsia="en-NZ"/>
        </w:rPr>
        <w:t>t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(see </w:t>
      </w:r>
      <w:hyperlink r:id="rId25" w:history="1">
        <w:r w:rsidRPr="00745094">
          <w:rPr>
            <w:rFonts w:ascii="Arial" w:eastAsia="Times New Roman" w:hAnsi="Arial" w:cs="Arial"/>
            <w:color w:val="0071B5"/>
            <w:sz w:val="23"/>
            <w:szCs w:val="23"/>
            <w:u w:val="single"/>
            <w:lang w:eastAsia="en-NZ"/>
          </w:rPr>
          <w:t>Topical corticosteroid preparation potencies</w:t>
        </w:r>
      </w:hyperlink>
      <w:r w:rsidRPr="00745094">
        <w:rPr>
          <w:rFonts w:ascii="Arial" w:eastAsia="Times New Roman" w:hAnsi="Arial" w:cs="Arial"/>
          <w:color w:val="494949"/>
          <w:sz w:val="23"/>
          <w:szCs w:val="23"/>
          <w:lang w:eastAsia="en-NZ"/>
        </w:rPr>
        <w:t>).</w:t>
      </w:r>
    </w:p>
    <w:p w14:paraId="2CD53A9C"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Other Risk factors include:</w:t>
      </w:r>
    </w:p>
    <w:p w14:paraId="0B364E63" w14:textId="77777777" w:rsidR="00745094" w:rsidRPr="00745094" w:rsidRDefault="00745094" w:rsidP="00745094">
      <w:pPr>
        <w:numPr>
          <w:ilvl w:val="0"/>
          <w:numId w:val="7"/>
        </w:numPr>
        <w:shd w:val="clear" w:color="auto" w:fill="FFFFFF"/>
        <w:spacing w:before="100" w:beforeAutospacing="1" w:after="100" w:afterAutospacing="1"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prolonged or frequent application;</w:t>
      </w:r>
    </w:p>
    <w:p w14:paraId="3D69EC07" w14:textId="77777777" w:rsidR="00745094" w:rsidRPr="00745094" w:rsidRDefault="00745094" w:rsidP="00745094">
      <w:pPr>
        <w:numPr>
          <w:ilvl w:val="0"/>
          <w:numId w:val="7"/>
        </w:numPr>
        <w:shd w:val="clear" w:color="auto" w:fill="FFFFFF"/>
        <w:spacing w:before="100" w:beforeAutospacing="1" w:after="100" w:afterAutospacing="1"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application to thin skin or mucous membranes (e.g., eyelids, genitals, flexural areas) or striae (stretch mark-prone areas);</w:t>
      </w:r>
    </w:p>
    <w:p w14:paraId="2390ADFF" w14:textId="77777777" w:rsidR="00745094" w:rsidRPr="00745094" w:rsidRDefault="00745094" w:rsidP="00745094">
      <w:pPr>
        <w:numPr>
          <w:ilvl w:val="0"/>
          <w:numId w:val="7"/>
        </w:numPr>
        <w:shd w:val="clear" w:color="auto" w:fill="FFFFFF"/>
        <w:spacing w:before="100" w:beforeAutospacing="1" w:after="100" w:afterAutospacing="1"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occlusion of application site;</w:t>
      </w:r>
    </w:p>
    <w:p w14:paraId="006FE73B" w14:textId="77777777" w:rsidR="00745094" w:rsidRPr="00745094" w:rsidRDefault="00745094" w:rsidP="00745094">
      <w:pPr>
        <w:numPr>
          <w:ilvl w:val="0"/>
          <w:numId w:val="7"/>
        </w:numPr>
        <w:shd w:val="clear" w:color="auto" w:fill="FFFFFF"/>
        <w:spacing w:before="100" w:beforeAutospacing="1" w:after="100" w:afterAutospacing="1"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concomitant use of oral or high-dose inhaled corticosteroids.</w:t>
      </w:r>
    </w:p>
    <w:p w14:paraId="600682DF" w14:textId="77777777" w:rsidR="00745094" w:rsidRPr="00745094" w:rsidRDefault="00745094" w:rsidP="00745094">
      <w:pPr>
        <w:shd w:val="clear" w:color="auto" w:fill="FFFFFF"/>
        <w:spacing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lastRenderedPageBreak/>
        <w:t>Fear of this adverse effect should not deter topical corticosteroid use when indicated as under-use can lead to poor symptom control and adverse outcomes for the individual. To ensure appropriate use prescribers should consider the severity of symptoms and location and size of the affected area to be treated, prescribe the lowest potency of corticosteroid needed to control symptoms, and limit frequency of application to twice daily or less. Use of </w:t>
      </w:r>
      <w:r w:rsidRPr="00745094">
        <w:rPr>
          <w:rFonts w:ascii="Arial" w:eastAsia="Times New Roman" w:hAnsi="Arial" w:cs="Arial"/>
          <w:i/>
          <w:iCs/>
          <w:color w:val="494949"/>
          <w:sz w:val="23"/>
          <w:szCs w:val="23"/>
          <w:lang w:eastAsia="en-NZ"/>
        </w:rPr>
        <w:t>fingertip unit </w:t>
      </w:r>
      <w:r w:rsidRPr="00745094">
        <w:rPr>
          <w:rFonts w:ascii="Arial" w:eastAsia="Times New Roman" w:hAnsi="Arial" w:cs="Arial"/>
          <w:color w:val="494949"/>
          <w:sz w:val="23"/>
          <w:szCs w:val="23"/>
          <w:lang w:eastAsia="en-NZ"/>
        </w:rPr>
        <w:t>measurements ensures enough topical corticosteroid is administered while avoiding excessive exposure. See also </w:t>
      </w:r>
      <w:hyperlink r:id="rId26" w:tgtFrame="_blank" w:history="1">
        <w:r w:rsidRPr="00745094">
          <w:rPr>
            <w:rFonts w:ascii="Arial" w:eastAsia="Times New Roman" w:hAnsi="Arial" w:cs="Arial"/>
            <w:color w:val="0071B5"/>
            <w:sz w:val="23"/>
            <w:szCs w:val="23"/>
            <w:u w:val="single"/>
            <w:lang w:eastAsia="en-NZ"/>
          </w:rPr>
          <w:t>Adrenal Suppression Associated with the Use of </w:t>
        </w:r>
        <w:r w:rsidRPr="00745094">
          <w:rPr>
            <w:rFonts w:ascii="Arial" w:eastAsia="Times New Roman" w:hAnsi="Arial" w:cs="Arial"/>
            <w:color w:val="0071B5"/>
            <w:sz w:val="23"/>
            <w:szCs w:val="23"/>
            <w:shd w:val="clear" w:color="auto" w:fill="FFC800"/>
            <w:lang w:eastAsia="en-NZ"/>
          </w:rPr>
          <w:t>Topical Corticosteroids</w:t>
        </w:r>
      </w:hyperlink>
      <w:r w:rsidRPr="00745094">
        <w:rPr>
          <w:rFonts w:ascii="Arial" w:eastAsia="Times New Roman" w:hAnsi="Arial" w:cs="Arial"/>
          <w:color w:val="494949"/>
          <w:sz w:val="23"/>
          <w:szCs w:val="23"/>
          <w:lang w:eastAsia="en-NZ"/>
        </w:rPr>
        <w:t> Prescriber Update, December 2017.</w:t>
      </w:r>
    </w:p>
    <w:p w14:paraId="74D786F1" w14:textId="77777777" w:rsidR="00745094" w:rsidRPr="00745094" w:rsidRDefault="00745094" w:rsidP="00745094">
      <w:pPr>
        <w:shd w:val="clear" w:color="auto" w:fill="FFFFFF"/>
        <w:spacing w:before="360"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Topical steroid withdrawal reactions</w:t>
      </w:r>
    </w:p>
    <w:p w14:paraId="0B60C05E"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Withdrawal reactions (symptom rebound or flare) can occur in the days or weeks following cessation of long-term topical treatment with corticosteroids, or inappropriately frequent use of </w:t>
      </w:r>
      <w:r w:rsidRPr="00745094">
        <w:rPr>
          <w:rFonts w:ascii="Arial" w:eastAsia="Times New Roman" w:hAnsi="Arial" w:cs="Arial"/>
          <w:i/>
          <w:iCs/>
          <w:color w:val="494949"/>
          <w:sz w:val="23"/>
          <w:szCs w:val="23"/>
          <w:lang w:eastAsia="en-NZ"/>
        </w:rPr>
        <w:t>moderate</w:t>
      </w:r>
      <w:r w:rsidRPr="00745094">
        <w:rPr>
          <w:rFonts w:ascii="Arial" w:eastAsia="Times New Roman" w:hAnsi="Arial" w:cs="Arial"/>
          <w:color w:val="494949"/>
          <w:sz w:val="23"/>
          <w:szCs w:val="23"/>
          <w:lang w:eastAsia="en-NZ"/>
        </w:rPr>
        <w:t> to </w:t>
      </w:r>
      <w:r w:rsidRPr="00745094">
        <w:rPr>
          <w:rFonts w:ascii="Arial" w:eastAsia="Times New Roman" w:hAnsi="Arial" w:cs="Arial"/>
          <w:i/>
          <w:iCs/>
          <w:color w:val="494949"/>
          <w:sz w:val="23"/>
          <w:szCs w:val="23"/>
          <w:lang w:eastAsia="en-NZ"/>
        </w:rPr>
        <w:t>high potency</w:t>
      </w:r>
      <w:r w:rsidRPr="00745094">
        <w:rPr>
          <w:rFonts w:ascii="Arial" w:eastAsia="Times New Roman" w:hAnsi="Arial" w:cs="Arial"/>
          <w:color w:val="494949"/>
          <w:sz w:val="23"/>
          <w:szCs w:val="23"/>
          <w:lang w:eastAsia="en-NZ"/>
        </w:rPr>
        <w:t> products (especially on the face or genital area). Rarely, the withdrawal reaction can produce dermatitis with intense redness, stinging, and burning that extends beyond the initial symptomatic area (in </w:t>
      </w:r>
      <w:hyperlink r:id="rId27" w:history="1">
        <w:r w:rsidRPr="00745094">
          <w:rPr>
            <w:rFonts w:ascii="Arial" w:eastAsia="Times New Roman" w:hAnsi="Arial" w:cs="Arial"/>
            <w:color w:val="0071B5"/>
            <w:sz w:val="23"/>
            <w:szCs w:val="23"/>
            <w:u w:val="single"/>
            <w:lang w:eastAsia="en-NZ"/>
          </w:rPr>
          <w:t>eczema</w:t>
        </w:r>
      </w:hyperlink>
      <w:r w:rsidRPr="00745094">
        <w:rPr>
          <w:rFonts w:ascii="Arial" w:eastAsia="Times New Roman" w:hAnsi="Arial" w:cs="Arial"/>
          <w:color w:val="494949"/>
          <w:sz w:val="23"/>
          <w:szCs w:val="23"/>
          <w:lang w:eastAsia="en-NZ"/>
        </w:rPr>
        <w:t>, a rebound of pre-existing symptoms can occur). Monitor individuals for the development of these symptoms following discontinuation of long-term treatment. Ideally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should be discontinued gradually, with ongoing regular </w:t>
      </w:r>
      <w:hyperlink r:id="rId28" w:history="1">
        <w:r w:rsidRPr="00745094">
          <w:rPr>
            <w:rFonts w:ascii="Arial" w:eastAsia="Times New Roman" w:hAnsi="Arial" w:cs="Arial"/>
            <w:color w:val="0071B5"/>
            <w:sz w:val="23"/>
            <w:szCs w:val="23"/>
            <w:u w:val="single"/>
            <w:lang w:eastAsia="en-NZ"/>
          </w:rPr>
          <w:t>emollient</w:t>
        </w:r>
      </w:hyperlink>
      <w:r w:rsidRPr="00745094">
        <w:rPr>
          <w:rFonts w:ascii="Arial" w:eastAsia="Times New Roman" w:hAnsi="Arial" w:cs="Arial"/>
          <w:color w:val="494949"/>
          <w:sz w:val="23"/>
          <w:szCs w:val="23"/>
          <w:lang w:eastAsia="en-NZ"/>
        </w:rPr>
        <w:t> use to repair and protect the natural skin barrier.</w:t>
      </w:r>
    </w:p>
    <w:p w14:paraId="19C09085" w14:textId="77777777" w:rsidR="00745094" w:rsidRPr="00745094" w:rsidRDefault="00745094" w:rsidP="00745094">
      <w:pPr>
        <w:shd w:val="clear" w:color="auto" w:fill="FFFFFF"/>
        <w:spacing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The least potent topical corticosteroid that is effective should be used and individuals should be advised to carefully follow instructions regarding the frequency, location, and duration of use.</w:t>
      </w:r>
    </w:p>
    <w:p w14:paraId="0B7504E7" w14:textId="77777777" w:rsidR="00745094" w:rsidRPr="00745094" w:rsidRDefault="00745094" w:rsidP="00745094">
      <w:pPr>
        <w:shd w:val="clear" w:color="auto" w:fill="FFFFFF"/>
        <w:spacing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Application</w:t>
      </w:r>
    </w:p>
    <w:p w14:paraId="2349C971"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Topical corticosteroid preparations should be applied no more frequently than twice daily; once daily is often sufficient.</w:t>
      </w:r>
    </w:p>
    <w:p w14:paraId="60C1BE61"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Initial topical corticosteroid treatment should be generously applied to the affected area once or twice daily to gain rapid control of an inflammatory dermatosis within a few days. After that, a thin smear of topical corticosteroid can be applied no more than once daily until settled. Specialist advice is recommended if potent or very potent topical steroids are required for more than two to four weeks.</w:t>
      </w:r>
    </w:p>
    <w:p w14:paraId="03B17046" w14:textId="77777777" w:rsidR="00745094" w:rsidRDefault="00745094" w:rsidP="00745094">
      <w:pPr>
        <w:shd w:val="clear" w:color="auto" w:fill="FFFFFF"/>
        <w:spacing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highlight w:val="yellow"/>
          <w:lang w:eastAsia="en-NZ"/>
        </w:rPr>
        <w:t>The length of cream or ointment expelled from a tube may be used to specify the quantity to be applied to a given area of skin. This length can be measured in terms of a </w:t>
      </w:r>
      <w:r w:rsidRPr="00745094">
        <w:rPr>
          <w:rFonts w:ascii="Arial" w:eastAsia="Times New Roman" w:hAnsi="Arial" w:cs="Arial"/>
          <w:i/>
          <w:iCs/>
          <w:color w:val="494949"/>
          <w:sz w:val="23"/>
          <w:szCs w:val="23"/>
          <w:highlight w:val="yellow"/>
          <w:lang w:eastAsia="en-NZ"/>
        </w:rPr>
        <w:t>fingertip unit</w:t>
      </w:r>
      <w:r w:rsidRPr="00745094">
        <w:rPr>
          <w:rFonts w:ascii="Arial" w:eastAsia="Times New Roman" w:hAnsi="Arial" w:cs="Arial"/>
          <w:color w:val="494949"/>
          <w:sz w:val="23"/>
          <w:szCs w:val="23"/>
          <w:highlight w:val="yellow"/>
          <w:lang w:eastAsia="en-NZ"/>
        </w:rPr>
        <w:t> (the distance from the tip of the adult index finger to the first crease). For a tube with a standard 5 mm diameter nozzle one fingertip unit is approximately equivalent to 500 mg for an adult male and 400 mg for an adult female. A fingertip unit is sufficient to cover an area that is twice that of a flat adult handprint (palm and fingers).</w:t>
      </w:r>
    </w:p>
    <w:p w14:paraId="4EA43481" w14:textId="77777777" w:rsidR="00745094" w:rsidRDefault="00745094" w:rsidP="00745094">
      <w:pPr>
        <w:shd w:val="clear" w:color="auto" w:fill="FFFFFF"/>
        <w:spacing w:line="240" w:lineRule="auto"/>
        <w:rPr>
          <w:rFonts w:ascii="Arial" w:eastAsia="Times New Roman" w:hAnsi="Arial" w:cs="Arial"/>
          <w:color w:val="494949"/>
          <w:sz w:val="23"/>
          <w:szCs w:val="23"/>
          <w:lang w:eastAsia="en-NZ"/>
        </w:rPr>
      </w:pPr>
    </w:p>
    <w:p w14:paraId="04F9F2AA" w14:textId="77777777" w:rsidR="00745094" w:rsidRDefault="00745094" w:rsidP="00745094">
      <w:pPr>
        <w:shd w:val="clear" w:color="auto" w:fill="FFFFFF"/>
        <w:spacing w:line="240" w:lineRule="auto"/>
        <w:rPr>
          <w:rFonts w:ascii="Arial" w:eastAsia="Times New Roman" w:hAnsi="Arial" w:cs="Arial"/>
          <w:color w:val="494949"/>
          <w:sz w:val="23"/>
          <w:szCs w:val="23"/>
          <w:lang w:eastAsia="en-NZ"/>
        </w:rPr>
      </w:pPr>
    </w:p>
    <w:p w14:paraId="22EC8F0E" w14:textId="77777777" w:rsidR="00745094" w:rsidRDefault="00745094" w:rsidP="00745094">
      <w:pPr>
        <w:shd w:val="clear" w:color="auto" w:fill="FFFFFF"/>
        <w:spacing w:line="240" w:lineRule="auto"/>
        <w:rPr>
          <w:rFonts w:ascii="Arial" w:eastAsia="Times New Roman" w:hAnsi="Arial" w:cs="Arial"/>
          <w:color w:val="494949"/>
          <w:sz w:val="23"/>
          <w:szCs w:val="23"/>
          <w:lang w:eastAsia="en-NZ"/>
        </w:rPr>
      </w:pPr>
    </w:p>
    <w:p w14:paraId="6555FAC2" w14:textId="77777777" w:rsidR="00745094" w:rsidRDefault="00745094" w:rsidP="00745094">
      <w:pPr>
        <w:shd w:val="clear" w:color="auto" w:fill="FFFFFF"/>
        <w:spacing w:line="240" w:lineRule="auto"/>
        <w:rPr>
          <w:rFonts w:ascii="Arial" w:eastAsia="Times New Roman" w:hAnsi="Arial" w:cs="Arial"/>
          <w:color w:val="494949"/>
          <w:sz w:val="23"/>
          <w:szCs w:val="23"/>
          <w:lang w:eastAsia="en-NZ"/>
        </w:rPr>
      </w:pPr>
    </w:p>
    <w:p w14:paraId="436BEFB8" w14:textId="77777777" w:rsidR="00745094" w:rsidRDefault="00745094" w:rsidP="00745094">
      <w:pPr>
        <w:shd w:val="clear" w:color="auto" w:fill="FFFFFF"/>
        <w:spacing w:line="240" w:lineRule="auto"/>
        <w:rPr>
          <w:rFonts w:ascii="Arial" w:eastAsia="Times New Roman" w:hAnsi="Arial" w:cs="Arial"/>
          <w:color w:val="494949"/>
          <w:sz w:val="23"/>
          <w:szCs w:val="23"/>
          <w:lang w:eastAsia="en-NZ"/>
        </w:rPr>
      </w:pPr>
    </w:p>
    <w:p w14:paraId="6663CD06" w14:textId="77777777" w:rsidR="00745094" w:rsidRPr="00745094" w:rsidRDefault="00745094" w:rsidP="00745094">
      <w:pPr>
        <w:shd w:val="clear" w:color="auto" w:fill="FFFFFF"/>
        <w:spacing w:line="240" w:lineRule="auto"/>
        <w:rPr>
          <w:rFonts w:ascii="Arial" w:eastAsia="Times New Roman" w:hAnsi="Arial" w:cs="Arial"/>
          <w:color w:val="494949"/>
          <w:sz w:val="23"/>
          <w:szCs w:val="23"/>
          <w:lang w:eastAsia="en-NZ"/>
        </w:rPr>
      </w:pPr>
    </w:p>
    <w:tbl>
      <w:tblPr>
        <w:tblW w:w="0" w:type="dxa"/>
        <w:tblBorders>
          <w:top w:val="single" w:sz="6" w:space="0" w:color="0071B5"/>
          <w:left w:val="single" w:sz="6" w:space="0" w:color="0071B5"/>
          <w:bottom w:val="single" w:sz="6" w:space="0" w:color="0071B5"/>
          <w:right w:val="single" w:sz="6" w:space="0" w:color="0071B5"/>
        </w:tblBorders>
        <w:tblCellMar>
          <w:top w:w="15" w:type="dxa"/>
          <w:left w:w="15" w:type="dxa"/>
          <w:bottom w:w="15" w:type="dxa"/>
          <w:right w:w="15" w:type="dxa"/>
        </w:tblCellMar>
        <w:tblLook w:val="04A0" w:firstRow="1" w:lastRow="0" w:firstColumn="1" w:lastColumn="0" w:noHBand="0" w:noVBand="1"/>
      </w:tblPr>
      <w:tblGrid>
        <w:gridCol w:w="4266"/>
        <w:gridCol w:w="4752"/>
      </w:tblGrid>
      <w:tr w:rsidR="00745094" w:rsidRPr="00745094" w14:paraId="5B078714" w14:textId="77777777" w:rsidTr="00745094">
        <w:trPr>
          <w:tblHeader/>
        </w:trPr>
        <w:tc>
          <w:tcPr>
            <w:tcW w:w="0" w:type="auto"/>
            <w:gridSpan w:val="2"/>
            <w:tcBorders>
              <w:top w:val="nil"/>
              <w:left w:val="nil"/>
              <w:bottom w:val="single" w:sz="6" w:space="0" w:color="0071B5"/>
              <w:right w:val="single" w:sz="6" w:space="0" w:color="0071B5"/>
            </w:tcBorders>
            <w:shd w:val="clear" w:color="auto" w:fill="DEF3FF"/>
            <w:tcMar>
              <w:top w:w="45" w:type="dxa"/>
              <w:left w:w="150" w:type="dxa"/>
              <w:bottom w:w="45" w:type="dxa"/>
              <w:right w:w="150" w:type="dxa"/>
            </w:tcMar>
            <w:vAlign w:val="center"/>
            <w:hideMark/>
          </w:tcPr>
          <w:p w14:paraId="492CE986"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b/>
                <w:bCs/>
                <w:color w:val="444444"/>
                <w:sz w:val="24"/>
                <w:szCs w:val="24"/>
                <w:lang w:eastAsia="en-NZ"/>
              </w:rPr>
              <w:lastRenderedPageBreak/>
              <w:t>Suitable quantities of corticosteroid preparations to be prescribed for specific areas of the body</w:t>
            </w:r>
          </w:p>
        </w:tc>
      </w:tr>
      <w:tr w:rsidR="00745094" w:rsidRPr="00745094" w14:paraId="37B6038A" w14:textId="77777777" w:rsidTr="00745094">
        <w:trPr>
          <w:tblHeader/>
        </w:trPr>
        <w:tc>
          <w:tcPr>
            <w:tcW w:w="0" w:type="auto"/>
            <w:tcBorders>
              <w:top w:val="nil"/>
              <w:left w:val="nil"/>
              <w:bottom w:val="single" w:sz="6" w:space="0" w:color="0071B5"/>
              <w:right w:val="single" w:sz="6" w:space="0" w:color="0071B5"/>
            </w:tcBorders>
            <w:shd w:val="clear" w:color="auto" w:fill="DEF3FF"/>
            <w:tcMar>
              <w:top w:w="45" w:type="dxa"/>
              <w:left w:w="150" w:type="dxa"/>
              <w:bottom w:w="45" w:type="dxa"/>
              <w:right w:w="150" w:type="dxa"/>
            </w:tcMar>
            <w:vAlign w:val="center"/>
            <w:hideMark/>
          </w:tcPr>
          <w:p w14:paraId="4AD5FC75"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 </w:t>
            </w:r>
          </w:p>
        </w:tc>
        <w:tc>
          <w:tcPr>
            <w:tcW w:w="0" w:type="auto"/>
            <w:tcBorders>
              <w:top w:val="nil"/>
              <w:left w:val="nil"/>
              <w:bottom w:val="single" w:sz="6" w:space="0" w:color="0071B5"/>
              <w:right w:val="single" w:sz="6" w:space="0" w:color="0071B5"/>
            </w:tcBorders>
            <w:shd w:val="clear" w:color="auto" w:fill="DEF3FF"/>
            <w:tcMar>
              <w:top w:w="45" w:type="dxa"/>
              <w:left w:w="150" w:type="dxa"/>
              <w:bottom w:w="45" w:type="dxa"/>
              <w:right w:w="150" w:type="dxa"/>
            </w:tcMar>
            <w:vAlign w:val="center"/>
            <w:hideMark/>
          </w:tcPr>
          <w:p w14:paraId="0E42E774"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Creams and Ointments</w:t>
            </w:r>
          </w:p>
        </w:tc>
      </w:tr>
      <w:tr w:rsidR="00745094" w:rsidRPr="00745094" w14:paraId="0810E699" w14:textId="77777777" w:rsidTr="00745094">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5CB29A06"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Face and neck</w:t>
            </w:r>
          </w:p>
        </w:tc>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4ACBD0AA"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15–30 g</w:t>
            </w:r>
          </w:p>
        </w:tc>
      </w:tr>
      <w:tr w:rsidR="00745094" w:rsidRPr="00745094" w14:paraId="7758BDB2" w14:textId="77777777" w:rsidTr="00745094">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0B6B3116"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Both hands</w:t>
            </w:r>
          </w:p>
        </w:tc>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2A46C0A2"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15–30 g</w:t>
            </w:r>
          </w:p>
        </w:tc>
      </w:tr>
      <w:tr w:rsidR="00745094" w:rsidRPr="00745094" w14:paraId="1423783D" w14:textId="77777777" w:rsidTr="00745094">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2272545F"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Both feet</w:t>
            </w:r>
          </w:p>
        </w:tc>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171B79FC"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15–30 g</w:t>
            </w:r>
          </w:p>
        </w:tc>
      </w:tr>
      <w:tr w:rsidR="00745094" w:rsidRPr="00745094" w14:paraId="51CC18C4" w14:textId="77777777" w:rsidTr="00745094">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2FC87EC6"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Scalp</w:t>
            </w:r>
          </w:p>
        </w:tc>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39B437C3"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15–30 g</w:t>
            </w:r>
          </w:p>
        </w:tc>
      </w:tr>
      <w:tr w:rsidR="00745094" w:rsidRPr="00745094" w14:paraId="3061CE02" w14:textId="77777777" w:rsidTr="00745094">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1DDF0ABF"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Both arms</w:t>
            </w:r>
          </w:p>
        </w:tc>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10ABF850"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30–60 g</w:t>
            </w:r>
          </w:p>
        </w:tc>
      </w:tr>
      <w:tr w:rsidR="00745094" w:rsidRPr="00745094" w14:paraId="5F42D519" w14:textId="77777777" w:rsidTr="00745094">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3328FE5D"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Both legs</w:t>
            </w:r>
          </w:p>
        </w:tc>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46B3153E"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100 g</w:t>
            </w:r>
          </w:p>
        </w:tc>
      </w:tr>
      <w:tr w:rsidR="00745094" w:rsidRPr="00745094" w14:paraId="18EC8900" w14:textId="77777777" w:rsidTr="00745094">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21F5F74D"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Trunk</w:t>
            </w:r>
          </w:p>
        </w:tc>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741D08EE"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100 g</w:t>
            </w:r>
          </w:p>
        </w:tc>
      </w:tr>
      <w:tr w:rsidR="00745094" w:rsidRPr="00745094" w14:paraId="3297528C" w14:textId="77777777" w:rsidTr="00745094">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45508643"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Groins and genitalia</w:t>
            </w:r>
          </w:p>
        </w:tc>
        <w:tc>
          <w:tcPr>
            <w:tcW w:w="0" w:type="auto"/>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3D3B9A32"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15–30 g</w:t>
            </w:r>
          </w:p>
        </w:tc>
      </w:tr>
      <w:tr w:rsidR="00745094" w:rsidRPr="00745094" w14:paraId="175A8C33" w14:textId="77777777" w:rsidTr="00745094">
        <w:tc>
          <w:tcPr>
            <w:tcW w:w="0" w:type="auto"/>
            <w:gridSpan w:val="2"/>
            <w:tcBorders>
              <w:top w:val="single" w:sz="6" w:space="0" w:color="0071B5"/>
              <w:left w:val="single" w:sz="6" w:space="0" w:color="0071B5"/>
              <w:bottom w:val="single" w:sz="6" w:space="0" w:color="0071B5"/>
              <w:right w:val="single" w:sz="6" w:space="0" w:color="0071B5"/>
            </w:tcBorders>
            <w:tcMar>
              <w:top w:w="45" w:type="dxa"/>
              <w:left w:w="150" w:type="dxa"/>
              <w:bottom w:w="45" w:type="dxa"/>
              <w:right w:w="150" w:type="dxa"/>
            </w:tcMar>
            <w:vAlign w:val="center"/>
            <w:hideMark/>
          </w:tcPr>
          <w:p w14:paraId="72468B4A" w14:textId="77777777" w:rsidR="00745094" w:rsidRPr="00745094" w:rsidRDefault="00745094" w:rsidP="00745094">
            <w:pPr>
              <w:spacing w:after="0" w:line="240" w:lineRule="auto"/>
              <w:rPr>
                <w:rFonts w:ascii="Times New Roman" w:eastAsia="Times New Roman" w:hAnsi="Times New Roman" w:cs="Times New Roman"/>
                <w:sz w:val="24"/>
                <w:szCs w:val="24"/>
                <w:lang w:eastAsia="en-NZ"/>
              </w:rPr>
            </w:pPr>
            <w:r w:rsidRPr="00745094">
              <w:rPr>
                <w:rFonts w:ascii="Times New Roman" w:eastAsia="Times New Roman" w:hAnsi="Times New Roman" w:cs="Times New Roman"/>
                <w:sz w:val="24"/>
                <w:szCs w:val="24"/>
                <w:lang w:eastAsia="en-NZ"/>
              </w:rPr>
              <w:t>These amounts are usually suitable for an adult for a single daily application for two weeks</w:t>
            </w:r>
          </w:p>
        </w:tc>
      </w:tr>
    </w:tbl>
    <w:p w14:paraId="07C12CD0"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If an individual is using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of different potencies, they should be told when to use each corticosteroid. The potency of each topical corticosteroid (see </w:t>
      </w:r>
      <w:hyperlink r:id="rId29" w:history="1">
        <w:r w:rsidRPr="00745094">
          <w:rPr>
            <w:rFonts w:ascii="Arial" w:eastAsia="Times New Roman" w:hAnsi="Arial" w:cs="Arial"/>
            <w:color w:val="0071B5"/>
            <w:sz w:val="23"/>
            <w:szCs w:val="23"/>
            <w:u w:val="single"/>
            <w:lang w:eastAsia="en-NZ"/>
          </w:rPr>
          <w:t>Topical corticosteroid preparation potencies</w:t>
        </w:r>
      </w:hyperlink>
      <w:r w:rsidRPr="00745094">
        <w:rPr>
          <w:rFonts w:ascii="Arial" w:eastAsia="Times New Roman" w:hAnsi="Arial" w:cs="Arial"/>
          <w:color w:val="494949"/>
          <w:sz w:val="23"/>
          <w:szCs w:val="23"/>
          <w:lang w:eastAsia="en-NZ"/>
        </w:rPr>
        <w:t>) should be included on the label with the directions for use and precise written instructions should be provided.</w:t>
      </w:r>
    </w:p>
    <w:p w14:paraId="18E0E874" w14:textId="77777777" w:rsidR="00745094" w:rsidRPr="00745094" w:rsidRDefault="00745094" w:rsidP="00745094">
      <w:pPr>
        <w:shd w:val="clear" w:color="auto" w:fill="FFFFFF"/>
        <w:spacing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Mixing topical preparations on the skin should be avoided where possible; several minutes should elapse between application of different preparations.</w:t>
      </w:r>
    </w:p>
    <w:p w14:paraId="07426929" w14:textId="77777777" w:rsidR="00745094" w:rsidRPr="00745094" w:rsidRDefault="00745094" w:rsidP="00745094">
      <w:pPr>
        <w:shd w:val="clear" w:color="auto" w:fill="FFFFFF"/>
        <w:spacing w:after="72" w:line="240" w:lineRule="auto"/>
        <w:rPr>
          <w:rFonts w:ascii="Arial" w:eastAsia="Times New Roman" w:hAnsi="Arial" w:cs="Arial"/>
          <w:b/>
          <w:bCs/>
          <w:color w:val="0071B5"/>
          <w:sz w:val="25"/>
          <w:szCs w:val="25"/>
          <w:lang w:eastAsia="en-NZ"/>
        </w:rPr>
      </w:pPr>
      <w:r w:rsidRPr="00745094">
        <w:rPr>
          <w:rFonts w:ascii="Arial" w:eastAsia="Times New Roman" w:hAnsi="Arial" w:cs="Arial"/>
          <w:b/>
          <w:bCs/>
          <w:color w:val="0071B5"/>
          <w:sz w:val="25"/>
          <w:szCs w:val="25"/>
          <w:lang w:eastAsia="en-NZ"/>
        </w:rPr>
        <w:t>Compound preparations</w:t>
      </w:r>
    </w:p>
    <w:p w14:paraId="19C8F428" w14:textId="77777777" w:rsidR="00745094" w:rsidRPr="00745094" w:rsidRDefault="00745094" w:rsidP="00745094">
      <w:pPr>
        <w:shd w:val="clear" w:color="auto" w:fill="FFFFFF"/>
        <w:spacing w:after="192"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 xml:space="preserve">The advantages of including other substances (such as antibacterials or </w:t>
      </w:r>
      <w:proofErr w:type="spellStart"/>
      <w:r w:rsidRPr="00745094">
        <w:rPr>
          <w:rFonts w:ascii="Arial" w:eastAsia="Times New Roman" w:hAnsi="Arial" w:cs="Arial"/>
          <w:color w:val="494949"/>
          <w:sz w:val="23"/>
          <w:szCs w:val="23"/>
          <w:lang w:eastAsia="en-NZ"/>
        </w:rPr>
        <w:t>antifungals</w:t>
      </w:r>
      <w:proofErr w:type="spellEnd"/>
      <w:r w:rsidRPr="00745094">
        <w:rPr>
          <w:rFonts w:ascii="Arial" w:eastAsia="Times New Roman" w:hAnsi="Arial" w:cs="Arial"/>
          <w:color w:val="494949"/>
          <w:sz w:val="23"/>
          <w:szCs w:val="23"/>
          <w:lang w:eastAsia="en-NZ"/>
        </w:rPr>
        <w:t>) with corticosteroids in topical preparations are uncertain, but such combinations may have a place where inflammatory skin conditions are associated with bacterial or fungal infection, such as localised infected eczema. In these cases the antimicrobial drug should be chosen according to the sensitivity of the infecting organism and used regularly for a short period (typically twice daily for one week). Longer use increases the likelihood of resistance and of sensitisation.</w:t>
      </w:r>
    </w:p>
    <w:p w14:paraId="4D4B6717" w14:textId="77777777" w:rsidR="00745094" w:rsidRPr="00745094" w:rsidRDefault="00745094" w:rsidP="00745094">
      <w:pPr>
        <w:shd w:val="clear" w:color="auto" w:fill="FFFFFF"/>
        <w:spacing w:line="240" w:lineRule="auto"/>
        <w:rPr>
          <w:rFonts w:ascii="Arial" w:eastAsia="Times New Roman" w:hAnsi="Arial" w:cs="Arial"/>
          <w:color w:val="494949"/>
          <w:sz w:val="23"/>
          <w:szCs w:val="23"/>
          <w:lang w:eastAsia="en-NZ"/>
        </w:rPr>
      </w:pPr>
      <w:r w:rsidRPr="00745094">
        <w:rPr>
          <w:rFonts w:ascii="Arial" w:eastAsia="Times New Roman" w:hAnsi="Arial" w:cs="Arial"/>
          <w:color w:val="494949"/>
          <w:sz w:val="23"/>
          <w:szCs w:val="23"/>
          <w:lang w:eastAsia="en-NZ"/>
        </w:rPr>
        <w:t>The keratolytic effect of salicylic acid facilitates the absorption of </w:t>
      </w:r>
      <w:r w:rsidRPr="00745094">
        <w:rPr>
          <w:rFonts w:ascii="Arial" w:eastAsia="Times New Roman" w:hAnsi="Arial" w:cs="Arial"/>
          <w:color w:val="494949"/>
          <w:sz w:val="23"/>
          <w:szCs w:val="23"/>
          <w:shd w:val="clear" w:color="auto" w:fill="FFC800"/>
          <w:lang w:eastAsia="en-NZ"/>
        </w:rPr>
        <w:t>topical corticosteroids</w:t>
      </w:r>
      <w:r w:rsidRPr="00745094">
        <w:rPr>
          <w:rFonts w:ascii="Arial" w:eastAsia="Times New Roman" w:hAnsi="Arial" w:cs="Arial"/>
          <w:color w:val="494949"/>
          <w:sz w:val="23"/>
          <w:szCs w:val="23"/>
          <w:lang w:eastAsia="en-NZ"/>
        </w:rPr>
        <w:t>; however, excessive and prolonged use of topical preparations containing salicylic acid may cause salicylate toxicity.</w:t>
      </w:r>
    </w:p>
    <w:p w14:paraId="50E896E7" w14:textId="77777777" w:rsidR="00C6501B" w:rsidRDefault="00C6501B" w:rsidP="00BC1669">
      <w:pPr>
        <w:shd w:val="clear" w:color="auto" w:fill="FFFFFF"/>
        <w:spacing w:after="72" w:line="240" w:lineRule="auto"/>
        <w:rPr>
          <w:rFonts w:ascii="Arial" w:eastAsia="Times New Roman" w:hAnsi="Arial" w:cs="Arial"/>
          <w:b/>
          <w:bCs/>
          <w:color w:val="0071B5"/>
          <w:sz w:val="25"/>
          <w:szCs w:val="25"/>
          <w:lang w:eastAsia="en-NZ"/>
        </w:rPr>
      </w:pPr>
    </w:p>
    <w:sectPr w:rsidR="00C65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C0F42"/>
    <w:multiLevelType w:val="multilevel"/>
    <w:tmpl w:val="FEB2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97556"/>
    <w:multiLevelType w:val="multilevel"/>
    <w:tmpl w:val="7428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D4AC5"/>
    <w:multiLevelType w:val="hybridMultilevel"/>
    <w:tmpl w:val="68448C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D21313"/>
    <w:multiLevelType w:val="multilevel"/>
    <w:tmpl w:val="EAEC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893E06"/>
    <w:multiLevelType w:val="multilevel"/>
    <w:tmpl w:val="4D9C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32022F"/>
    <w:multiLevelType w:val="multilevel"/>
    <w:tmpl w:val="E858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0C15D7"/>
    <w:multiLevelType w:val="multilevel"/>
    <w:tmpl w:val="1154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0215983">
    <w:abstractNumId w:val="6"/>
  </w:num>
  <w:num w:numId="2" w16cid:durableId="1091438920">
    <w:abstractNumId w:val="5"/>
  </w:num>
  <w:num w:numId="3" w16cid:durableId="777532336">
    <w:abstractNumId w:val="0"/>
  </w:num>
  <w:num w:numId="4" w16cid:durableId="840434114">
    <w:abstractNumId w:val="4"/>
  </w:num>
  <w:num w:numId="5" w16cid:durableId="989140663">
    <w:abstractNumId w:val="2"/>
  </w:num>
  <w:num w:numId="6" w16cid:durableId="1769735028">
    <w:abstractNumId w:val="3"/>
  </w:num>
  <w:num w:numId="7" w16cid:durableId="40888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69"/>
    <w:rsid w:val="00056251"/>
    <w:rsid w:val="000E4A29"/>
    <w:rsid w:val="00606865"/>
    <w:rsid w:val="00745094"/>
    <w:rsid w:val="00777D73"/>
    <w:rsid w:val="0080003A"/>
    <w:rsid w:val="00BB6ED9"/>
    <w:rsid w:val="00BC1212"/>
    <w:rsid w:val="00BC1669"/>
    <w:rsid w:val="00C1398E"/>
    <w:rsid w:val="00C6501B"/>
    <w:rsid w:val="00C9179A"/>
    <w:rsid w:val="00F461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C729"/>
  <w15:chartTrackingRefBased/>
  <w15:docId w15:val="{E5B0552B-7A0F-48FD-8766-F3E0468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03A"/>
    <w:pPr>
      <w:ind w:left="720"/>
      <w:contextualSpacing/>
    </w:pPr>
  </w:style>
  <w:style w:type="paragraph" w:styleId="NormalWeb">
    <w:name w:val="Normal (Web)"/>
    <w:basedOn w:val="Normal"/>
    <w:uiPriority w:val="99"/>
    <w:semiHidden/>
    <w:unhideWhenUsed/>
    <w:rsid w:val="0060686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606865"/>
    <w:rPr>
      <w:i/>
      <w:iCs/>
    </w:rPr>
  </w:style>
  <w:style w:type="character" w:customStyle="1" w:styleId="measure">
    <w:name w:val="measure"/>
    <w:basedOn w:val="DefaultParagraphFont"/>
    <w:rsid w:val="0060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04290">
      <w:bodyDiv w:val="1"/>
      <w:marLeft w:val="0"/>
      <w:marRight w:val="0"/>
      <w:marTop w:val="0"/>
      <w:marBottom w:val="0"/>
      <w:divBdr>
        <w:top w:val="none" w:sz="0" w:space="0" w:color="auto"/>
        <w:left w:val="none" w:sz="0" w:space="0" w:color="auto"/>
        <w:bottom w:val="none" w:sz="0" w:space="0" w:color="auto"/>
        <w:right w:val="none" w:sz="0" w:space="0" w:color="auto"/>
      </w:divBdr>
      <w:divsChild>
        <w:div w:id="1358969436">
          <w:marLeft w:val="0"/>
          <w:marRight w:val="0"/>
          <w:marTop w:val="0"/>
          <w:marBottom w:val="0"/>
          <w:divBdr>
            <w:top w:val="none" w:sz="0" w:space="0" w:color="auto"/>
            <w:left w:val="none" w:sz="0" w:space="0" w:color="auto"/>
            <w:bottom w:val="none" w:sz="0" w:space="0" w:color="auto"/>
            <w:right w:val="none" w:sz="0" w:space="0" w:color="auto"/>
          </w:divBdr>
          <w:divsChild>
            <w:div w:id="1469055255">
              <w:marLeft w:val="0"/>
              <w:marRight w:val="0"/>
              <w:marTop w:val="0"/>
              <w:marBottom w:val="0"/>
              <w:divBdr>
                <w:top w:val="none" w:sz="0" w:space="0" w:color="auto"/>
                <w:left w:val="none" w:sz="0" w:space="0" w:color="auto"/>
                <w:bottom w:val="none" w:sz="0" w:space="0" w:color="auto"/>
                <w:right w:val="none" w:sz="0" w:space="0" w:color="auto"/>
              </w:divBdr>
              <w:divsChild>
                <w:div w:id="1238245147">
                  <w:marLeft w:val="0"/>
                  <w:marRight w:val="0"/>
                  <w:marTop w:val="0"/>
                  <w:marBottom w:val="0"/>
                  <w:divBdr>
                    <w:top w:val="none" w:sz="0" w:space="0" w:color="auto"/>
                    <w:left w:val="none" w:sz="0" w:space="0" w:color="auto"/>
                    <w:bottom w:val="none" w:sz="0" w:space="0" w:color="auto"/>
                    <w:right w:val="none" w:sz="0" w:space="0" w:color="auto"/>
                  </w:divBdr>
                  <w:divsChild>
                    <w:div w:id="966668703">
                      <w:marLeft w:val="0"/>
                      <w:marRight w:val="0"/>
                      <w:marTop w:val="0"/>
                      <w:marBottom w:val="0"/>
                      <w:divBdr>
                        <w:top w:val="none" w:sz="0" w:space="0" w:color="auto"/>
                        <w:left w:val="none" w:sz="0" w:space="0" w:color="auto"/>
                        <w:bottom w:val="none" w:sz="0" w:space="0" w:color="auto"/>
                        <w:right w:val="none" w:sz="0" w:space="0" w:color="auto"/>
                      </w:divBdr>
                      <w:divsChild>
                        <w:div w:id="2085760152">
                          <w:marLeft w:val="0"/>
                          <w:marRight w:val="0"/>
                          <w:marTop w:val="240"/>
                          <w:marBottom w:val="240"/>
                          <w:divBdr>
                            <w:top w:val="none" w:sz="0" w:space="0" w:color="auto"/>
                            <w:left w:val="none" w:sz="0" w:space="0" w:color="auto"/>
                            <w:bottom w:val="none" w:sz="0" w:space="0" w:color="auto"/>
                            <w:right w:val="none" w:sz="0" w:space="0" w:color="auto"/>
                          </w:divBdr>
                          <w:divsChild>
                            <w:div w:id="1997028359">
                              <w:marLeft w:val="0"/>
                              <w:marRight w:val="0"/>
                              <w:marTop w:val="360"/>
                              <w:marBottom w:val="72"/>
                              <w:divBdr>
                                <w:top w:val="none" w:sz="0" w:space="0" w:color="auto"/>
                                <w:left w:val="none" w:sz="0" w:space="0" w:color="auto"/>
                                <w:bottom w:val="none" w:sz="0" w:space="0" w:color="auto"/>
                                <w:right w:val="none" w:sz="0" w:space="0" w:color="auto"/>
                              </w:divBdr>
                            </w:div>
                          </w:divsChild>
                        </w:div>
                        <w:div w:id="1283921031">
                          <w:marLeft w:val="0"/>
                          <w:marRight w:val="0"/>
                          <w:marTop w:val="240"/>
                          <w:marBottom w:val="240"/>
                          <w:divBdr>
                            <w:top w:val="none" w:sz="0" w:space="0" w:color="auto"/>
                            <w:left w:val="none" w:sz="0" w:space="0" w:color="auto"/>
                            <w:bottom w:val="none" w:sz="0" w:space="0" w:color="auto"/>
                            <w:right w:val="none" w:sz="0" w:space="0" w:color="auto"/>
                          </w:divBdr>
                        </w:div>
                        <w:div w:id="1030447739">
                          <w:marLeft w:val="0"/>
                          <w:marRight w:val="0"/>
                          <w:marTop w:val="240"/>
                          <w:marBottom w:val="240"/>
                          <w:divBdr>
                            <w:top w:val="none" w:sz="0" w:space="0" w:color="auto"/>
                            <w:left w:val="none" w:sz="0" w:space="0" w:color="auto"/>
                            <w:bottom w:val="none" w:sz="0" w:space="0" w:color="auto"/>
                            <w:right w:val="none" w:sz="0" w:space="0" w:color="auto"/>
                          </w:divBdr>
                          <w:divsChild>
                            <w:div w:id="10645427">
                              <w:marLeft w:val="0"/>
                              <w:marRight w:val="0"/>
                              <w:marTop w:val="36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382753343">
          <w:marLeft w:val="0"/>
          <w:marRight w:val="0"/>
          <w:marTop w:val="0"/>
          <w:marBottom w:val="0"/>
          <w:divBdr>
            <w:top w:val="none" w:sz="0" w:space="0" w:color="auto"/>
            <w:left w:val="none" w:sz="0" w:space="0" w:color="auto"/>
            <w:bottom w:val="none" w:sz="0" w:space="0" w:color="auto"/>
            <w:right w:val="none" w:sz="0" w:space="0" w:color="auto"/>
          </w:divBdr>
          <w:divsChild>
            <w:div w:id="1160078522">
              <w:marLeft w:val="0"/>
              <w:marRight w:val="0"/>
              <w:marTop w:val="0"/>
              <w:marBottom w:val="0"/>
              <w:divBdr>
                <w:top w:val="none" w:sz="0" w:space="0" w:color="auto"/>
                <w:left w:val="none" w:sz="0" w:space="0" w:color="auto"/>
                <w:bottom w:val="none" w:sz="0" w:space="0" w:color="auto"/>
                <w:right w:val="none" w:sz="0" w:space="0" w:color="auto"/>
              </w:divBdr>
              <w:divsChild>
                <w:div w:id="1168325124">
                  <w:marLeft w:val="0"/>
                  <w:marRight w:val="0"/>
                  <w:marTop w:val="0"/>
                  <w:marBottom w:val="0"/>
                  <w:divBdr>
                    <w:top w:val="none" w:sz="0" w:space="0" w:color="auto"/>
                    <w:left w:val="none" w:sz="0" w:space="0" w:color="auto"/>
                    <w:bottom w:val="none" w:sz="0" w:space="0" w:color="auto"/>
                    <w:right w:val="none" w:sz="0" w:space="0" w:color="auto"/>
                  </w:divBdr>
                  <w:divsChild>
                    <w:div w:id="125154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4516">
      <w:bodyDiv w:val="1"/>
      <w:marLeft w:val="0"/>
      <w:marRight w:val="0"/>
      <w:marTop w:val="0"/>
      <w:marBottom w:val="0"/>
      <w:divBdr>
        <w:top w:val="none" w:sz="0" w:space="0" w:color="auto"/>
        <w:left w:val="none" w:sz="0" w:space="0" w:color="auto"/>
        <w:bottom w:val="none" w:sz="0" w:space="0" w:color="auto"/>
        <w:right w:val="none" w:sz="0" w:space="0" w:color="auto"/>
      </w:divBdr>
    </w:div>
    <w:div w:id="1626614989">
      <w:bodyDiv w:val="1"/>
      <w:marLeft w:val="0"/>
      <w:marRight w:val="0"/>
      <w:marTop w:val="0"/>
      <w:marBottom w:val="0"/>
      <w:divBdr>
        <w:top w:val="none" w:sz="0" w:space="0" w:color="auto"/>
        <w:left w:val="none" w:sz="0" w:space="0" w:color="auto"/>
        <w:bottom w:val="none" w:sz="0" w:space="0" w:color="auto"/>
        <w:right w:val="none" w:sz="0" w:space="0" w:color="auto"/>
      </w:divBdr>
      <w:divsChild>
        <w:div w:id="378281813">
          <w:marLeft w:val="0"/>
          <w:marRight w:val="0"/>
          <w:marTop w:val="240"/>
          <w:marBottom w:val="240"/>
          <w:divBdr>
            <w:top w:val="none" w:sz="0" w:space="0" w:color="auto"/>
            <w:left w:val="none" w:sz="0" w:space="0" w:color="auto"/>
            <w:bottom w:val="none" w:sz="0" w:space="0" w:color="auto"/>
            <w:right w:val="none" w:sz="0" w:space="0" w:color="auto"/>
          </w:divBdr>
          <w:divsChild>
            <w:div w:id="1135371412">
              <w:marLeft w:val="0"/>
              <w:marRight w:val="0"/>
              <w:marTop w:val="360"/>
              <w:marBottom w:val="72"/>
              <w:divBdr>
                <w:top w:val="none" w:sz="0" w:space="0" w:color="auto"/>
                <w:left w:val="none" w:sz="0" w:space="0" w:color="auto"/>
                <w:bottom w:val="none" w:sz="0" w:space="0" w:color="auto"/>
                <w:right w:val="none" w:sz="0" w:space="0" w:color="auto"/>
              </w:divBdr>
            </w:div>
          </w:divsChild>
        </w:div>
        <w:div w:id="1812165650">
          <w:marLeft w:val="0"/>
          <w:marRight w:val="0"/>
          <w:marTop w:val="240"/>
          <w:marBottom w:val="240"/>
          <w:divBdr>
            <w:top w:val="none" w:sz="0" w:space="0" w:color="auto"/>
            <w:left w:val="none" w:sz="0" w:space="0" w:color="auto"/>
            <w:bottom w:val="none" w:sz="0" w:space="0" w:color="auto"/>
            <w:right w:val="none" w:sz="0" w:space="0" w:color="auto"/>
          </w:divBdr>
          <w:divsChild>
            <w:div w:id="417365290">
              <w:marLeft w:val="0"/>
              <w:marRight w:val="0"/>
              <w:marTop w:val="360"/>
              <w:marBottom w:val="72"/>
              <w:divBdr>
                <w:top w:val="none" w:sz="0" w:space="0" w:color="auto"/>
                <w:left w:val="none" w:sz="0" w:space="0" w:color="auto"/>
                <w:bottom w:val="none" w:sz="0" w:space="0" w:color="auto"/>
                <w:right w:val="none" w:sz="0" w:space="0" w:color="auto"/>
              </w:divBdr>
            </w:div>
          </w:divsChild>
        </w:div>
        <w:div w:id="408119687">
          <w:marLeft w:val="0"/>
          <w:marRight w:val="0"/>
          <w:marTop w:val="240"/>
          <w:marBottom w:val="240"/>
          <w:divBdr>
            <w:top w:val="none" w:sz="0" w:space="0" w:color="auto"/>
            <w:left w:val="none" w:sz="0" w:space="0" w:color="auto"/>
            <w:bottom w:val="none" w:sz="0" w:space="0" w:color="auto"/>
            <w:right w:val="none" w:sz="0" w:space="0" w:color="auto"/>
          </w:divBdr>
          <w:divsChild>
            <w:div w:id="2059085687">
              <w:marLeft w:val="0"/>
              <w:marRight w:val="0"/>
              <w:marTop w:val="360"/>
              <w:marBottom w:val="72"/>
              <w:divBdr>
                <w:top w:val="none" w:sz="0" w:space="0" w:color="auto"/>
                <w:left w:val="none" w:sz="0" w:space="0" w:color="auto"/>
                <w:bottom w:val="none" w:sz="0" w:space="0" w:color="auto"/>
                <w:right w:val="none" w:sz="0" w:space="0" w:color="auto"/>
              </w:divBdr>
            </w:div>
          </w:divsChild>
        </w:div>
        <w:div w:id="1715697337">
          <w:marLeft w:val="0"/>
          <w:marRight w:val="0"/>
          <w:marTop w:val="240"/>
          <w:marBottom w:val="240"/>
          <w:divBdr>
            <w:top w:val="none" w:sz="0" w:space="0" w:color="auto"/>
            <w:left w:val="none" w:sz="0" w:space="0" w:color="auto"/>
            <w:bottom w:val="none" w:sz="0" w:space="0" w:color="auto"/>
            <w:right w:val="none" w:sz="0" w:space="0" w:color="auto"/>
          </w:divBdr>
          <w:divsChild>
            <w:div w:id="2043968902">
              <w:marLeft w:val="0"/>
              <w:marRight w:val="0"/>
              <w:marTop w:val="360"/>
              <w:marBottom w:val="72"/>
              <w:divBdr>
                <w:top w:val="none" w:sz="0" w:space="0" w:color="auto"/>
                <w:left w:val="none" w:sz="0" w:space="0" w:color="auto"/>
                <w:bottom w:val="none" w:sz="0" w:space="0" w:color="auto"/>
                <w:right w:val="none" w:sz="0" w:space="0" w:color="auto"/>
              </w:divBdr>
            </w:div>
            <w:div w:id="585502467">
              <w:marLeft w:val="-120"/>
              <w:marRight w:val="-120"/>
              <w:marTop w:val="24"/>
              <w:marBottom w:val="24"/>
              <w:divBdr>
                <w:top w:val="none" w:sz="0" w:space="0" w:color="auto"/>
                <w:left w:val="none" w:sz="0" w:space="0" w:color="auto"/>
                <w:bottom w:val="none" w:sz="0" w:space="0" w:color="auto"/>
                <w:right w:val="none" w:sz="0" w:space="0" w:color="auto"/>
              </w:divBdr>
            </w:div>
          </w:divsChild>
        </w:div>
        <w:div w:id="56899401">
          <w:marLeft w:val="0"/>
          <w:marRight w:val="0"/>
          <w:marTop w:val="240"/>
          <w:marBottom w:val="240"/>
          <w:divBdr>
            <w:top w:val="none" w:sz="0" w:space="0" w:color="auto"/>
            <w:left w:val="none" w:sz="0" w:space="0" w:color="auto"/>
            <w:bottom w:val="none" w:sz="0" w:space="0" w:color="auto"/>
            <w:right w:val="none" w:sz="0" w:space="0" w:color="auto"/>
          </w:divBdr>
          <w:divsChild>
            <w:div w:id="1024794413">
              <w:marLeft w:val="0"/>
              <w:marRight w:val="0"/>
              <w:marTop w:val="360"/>
              <w:marBottom w:val="72"/>
              <w:divBdr>
                <w:top w:val="none" w:sz="0" w:space="0" w:color="auto"/>
                <w:left w:val="none" w:sz="0" w:space="0" w:color="auto"/>
                <w:bottom w:val="none" w:sz="0" w:space="0" w:color="auto"/>
                <w:right w:val="none" w:sz="0" w:space="0" w:color="auto"/>
              </w:divBdr>
            </w:div>
          </w:divsChild>
        </w:div>
        <w:div w:id="295454804">
          <w:marLeft w:val="0"/>
          <w:marRight w:val="0"/>
          <w:marTop w:val="240"/>
          <w:marBottom w:val="240"/>
          <w:divBdr>
            <w:top w:val="none" w:sz="0" w:space="0" w:color="auto"/>
            <w:left w:val="none" w:sz="0" w:space="0" w:color="auto"/>
            <w:bottom w:val="none" w:sz="0" w:space="0" w:color="auto"/>
            <w:right w:val="none" w:sz="0" w:space="0" w:color="auto"/>
          </w:divBdr>
          <w:divsChild>
            <w:div w:id="2038313559">
              <w:marLeft w:val="0"/>
              <w:marRight w:val="0"/>
              <w:marTop w:val="360"/>
              <w:marBottom w:val="72"/>
              <w:divBdr>
                <w:top w:val="none" w:sz="0" w:space="0" w:color="auto"/>
                <w:left w:val="none" w:sz="0" w:space="0" w:color="auto"/>
                <w:bottom w:val="none" w:sz="0" w:space="0" w:color="auto"/>
                <w:right w:val="none" w:sz="0" w:space="0" w:color="auto"/>
              </w:divBdr>
            </w:div>
          </w:divsChild>
        </w:div>
        <w:div w:id="1758094060">
          <w:marLeft w:val="0"/>
          <w:marRight w:val="0"/>
          <w:marTop w:val="240"/>
          <w:marBottom w:val="240"/>
          <w:divBdr>
            <w:top w:val="none" w:sz="0" w:space="0" w:color="auto"/>
            <w:left w:val="none" w:sz="0" w:space="0" w:color="auto"/>
            <w:bottom w:val="none" w:sz="0" w:space="0" w:color="auto"/>
            <w:right w:val="none" w:sz="0" w:space="0" w:color="auto"/>
          </w:divBdr>
        </w:div>
        <w:div w:id="1252590975">
          <w:marLeft w:val="0"/>
          <w:marRight w:val="0"/>
          <w:marTop w:val="240"/>
          <w:marBottom w:val="240"/>
          <w:divBdr>
            <w:top w:val="none" w:sz="0" w:space="0" w:color="auto"/>
            <w:left w:val="none" w:sz="0" w:space="0" w:color="auto"/>
            <w:bottom w:val="none" w:sz="0" w:space="0" w:color="auto"/>
            <w:right w:val="none" w:sz="0" w:space="0" w:color="auto"/>
          </w:divBdr>
          <w:divsChild>
            <w:div w:id="654723322">
              <w:marLeft w:val="0"/>
              <w:marRight w:val="0"/>
              <w:marTop w:val="360"/>
              <w:marBottom w:val="72"/>
              <w:divBdr>
                <w:top w:val="none" w:sz="0" w:space="0" w:color="auto"/>
                <w:left w:val="none" w:sz="0" w:space="0" w:color="auto"/>
                <w:bottom w:val="none" w:sz="0" w:space="0" w:color="auto"/>
                <w:right w:val="none" w:sz="0" w:space="0" w:color="auto"/>
              </w:divBdr>
            </w:div>
          </w:divsChild>
        </w:div>
        <w:div w:id="764880572">
          <w:marLeft w:val="0"/>
          <w:marRight w:val="0"/>
          <w:marTop w:val="240"/>
          <w:marBottom w:val="240"/>
          <w:divBdr>
            <w:top w:val="none" w:sz="0" w:space="0" w:color="auto"/>
            <w:left w:val="none" w:sz="0" w:space="0" w:color="auto"/>
            <w:bottom w:val="none" w:sz="0" w:space="0" w:color="auto"/>
            <w:right w:val="none" w:sz="0" w:space="0" w:color="auto"/>
          </w:divBdr>
        </w:div>
        <w:div w:id="1388644388">
          <w:marLeft w:val="0"/>
          <w:marRight w:val="0"/>
          <w:marTop w:val="240"/>
          <w:marBottom w:val="240"/>
          <w:divBdr>
            <w:top w:val="none" w:sz="0" w:space="0" w:color="auto"/>
            <w:left w:val="none" w:sz="0" w:space="0" w:color="auto"/>
            <w:bottom w:val="none" w:sz="0" w:space="0" w:color="auto"/>
            <w:right w:val="none" w:sz="0" w:space="0" w:color="auto"/>
          </w:divBdr>
          <w:divsChild>
            <w:div w:id="319430497">
              <w:marLeft w:val="0"/>
              <w:marRight w:val="0"/>
              <w:marTop w:val="360"/>
              <w:marBottom w:val="72"/>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starship.org.nz/funded-emollients-and-plain-steroid-creams-in-new-zealand-2020/Dermatology_A1_Poster.pdf" TargetMode="External"/><Relationship Id="rId13" Type="http://schemas.openxmlformats.org/officeDocument/2006/relationships/hyperlink" Target="https://www.nzf.org.nz/nzf_9432" TargetMode="External"/><Relationship Id="rId18" Type="http://schemas.openxmlformats.org/officeDocument/2006/relationships/hyperlink" Target="https://www.nzf.org.nz/nzf_6502" TargetMode="External"/><Relationship Id="rId26" Type="http://schemas.openxmlformats.org/officeDocument/2006/relationships/hyperlink" Target="https://medsafe.govt.nz/profs/PUArticles/December2017/AdrenalSuppressionTopicalCorticosteroids.htm" TargetMode="External"/><Relationship Id="rId3" Type="http://schemas.openxmlformats.org/officeDocument/2006/relationships/customXml" Target="../customXml/item3.xml"/><Relationship Id="rId21" Type="http://schemas.openxmlformats.org/officeDocument/2006/relationships/hyperlink" Target="https://www.nzf.org.nz/nzf_6248" TargetMode="External"/><Relationship Id="rId7" Type="http://schemas.openxmlformats.org/officeDocument/2006/relationships/webSettings" Target="webSettings.xml"/><Relationship Id="rId12" Type="http://schemas.openxmlformats.org/officeDocument/2006/relationships/hyperlink" Target="https://www.nzf.org.nz/nzf_5565" TargetMode="External"/><Relationship Id="rId17" Type="http://schemas.openxmlformats.org/officeDocument/2006/relationships/hyperlink" Target="https://www.nzf.org.nz/nzf_6332" TargetMode="External"/><Relationship Id="rId25" Type="http://schemas.openxmlformats.org/officeDocument/2006/relationships/hyperlink" Target="https://www.nzf.org.nz/nzf_6288" TargetMode="External"/><Relationship Id="rId2" Type="http://schemas.openxmlformats.org/officeDocument/2006/relationships/customXml" Target="../customXml/item2.xml"/><Relationship Id="rId16" Type="http://schemas.openxmlformats.org/officeDocument/2006/relationships/hyperlink" Target="https://www.nzf.org.nz/nzf_6248" TargetMode="External"/><Relationship Id="rId20" Type="http://schemas.openxmlformats.org/officeDocument/2006/relationships/hyperlink" Target="https://www.nzf.org.nz/nzf_6288" TargetMode="External"/><Relationship Id="rId29" Type="http://schemas.openxmlformats.org/officeDocument/2006/relationships/hyperlink" Target="https://www.nzf.org.nz/nzf_628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f.org.nz/nzf_6349" TargetMode="External"/><Relationship Id="rId24" Type="http://schemas.openxmlformats.org/officeDocument/2006/relationships/hyperlink" Target="https://www.nzf.org.nz/nzf_6272" TargetMode="External"/><Relationship Id="rId5" Type="http://schemas.openxmlformats.org/officeDocument/2006/relationships/styles" Target="styles.xml"/><Relationship Id="rId15" Type="http://schemas.openxmlformats.org/officeDocument/2006/relationships/hyperlink" Target="https://www.nzf.org.nz/nzf_6191" TargetMode="External"/><Relationship Id="rId23" Type="http://schemas.openxmlformats.org/officeDocument/2006/relationships/hyperlink" Target="https://www.nzf.org.nz/nzf_4093" TargetMode="External"/><Relationship Id="rId28" Type="http://schemas.openxmlformats.org/officeDocument/2006/relationships/hyperlink" Target="https://www.nzf.org.nz/nzf_6237" TargetMode="External"/><Relationship Id="rId10" Type="http://schemas.openxmlformats.org/officeDocument/2006/relationships/hyperlink" Target="https://www.nzf.org.nz/nzf_6587" TargetMode="External"/><Relationship Id="rId19" Type="http://schemas.openxmlformats.org/officeDocument/2006/relationships/hyperlink" Target="http://www.bpac.org.nz/2017/topical-antibiotics-2.aspx"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nzf.org.nz/nzf_6332" TargetMode="External"/><Relationship Id="rId14" Type="http://schemas.openxmlformats.org/officeDocument/2006/relationships/hyperlink" Target="https://www.nzf.org.nz/nzf_9437" TargetMode="External"/><Relationship Id="rId22" Type="http://schemas.openxmlformats.org/officeDocument/2006/relationships/hyperlink" Target="https://www.nzf.org.nz/nzf_70919" TargetMode="External"/><Relationship Id="rId27" Type="http://schemas.openxmlformats.org/officeDocument/2006/relationships/hyperlink" Target="https://www.nzf.org.nz/nzf_633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76f1ef-f3cb-4dfb-88c1-04fdd7204b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5FAF2986C99E48913F100A1D0AE073" ma:contentTypeVersion="8" ma:contentTypeDescription="Create a new document." ma:contentTypeScope="" ma:versionID="3b2a0a8d3aa02e26518760276c8cdab9">
  <xsd:schema xmlns:xsd="http://www.w3.org/2001/XMLSchema" xmlns:xs="http://www.w3.org/2001/XMLSchema" xmlns:p="http://schemas.microsoft.com/office/2006/metadata/properties" xmlns:ns3="f276f1ef-f3cb-4dfb-88c1-04fdd7204b32" xmlns:ns4="7fcafa22-fa3e-45d2-96af-842f74107a30" targetNamespace="http://schemas.microsoft.com/office/2006/metadata/properties" ma:root="true" ma:fieldsID="7df6c3616ffecc1cf0a8bcab1a998bf1" ns3:_="" ns4:_="">
    <xsd:import namespace="f276f1ef-f3cb-4dfb-88c1-04fdd7204b32"/>
    <xsd:import namespace="7fcafa22-fa3e-45d2-96af-842f74107a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6f1ef-f3cb-4dfb-88c1-04fdd7204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cafa22-fa3e-45d2-96af-842f74107a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11CE3-E257-4686-AF72-850274294602}">
  <ds:schemaRefs>
    <ds:schemaRef ds:uri="http://schemas.microsoft.com/office/2006/metadata/properties"/>
    <ds:schemaRef ds:uri="http://www.w3.org/2000/xmlns/"/>
    <ds:schemaRef ds:uri="f276f1ef-f3cb-4dfb-88c1-04fdd7204b32"/>
    <ds:schemaRef ds:uri="http://www.w3.org/2001/XMLSchema-instance"/>
  </ds:schemaRefs>
</ds:datastoreItem>
</file>

<file path=customXml/itemProps2.xml><?xml version="1.0" encoding="utf-8"?>
<ds:datastoreItem xmlns:ds="http://schemas.openxmlformats.org/officeDocument/2006/customXml" ds:itemID="{28AEFBBC-D650-40DA-B1A3-4FDF2F01EEB0}">
  <ds:schemaRefs>
    <ds:schemaRef ds:uri="http://schemas.microsoft.com/sharepoint/v3/contenttype/forms"/>
  </ds:schemaRefs>
</ds:datastoreItem>
</file>

<file path=customXml/itemProps3.xml><?xml version="1.0" encoding="utf-8"?>
<ds:datastoreItem xmlns:ds="http://schemas.openxmlformats.org/officeDocument/2006/customXml" ds:itemID="{3E3CDCDE-5D94-4056-BB0B-FD54B78F3C85}">
  <ds:schemaRefs>
    <ds:schemaRef ds:uri="http://schemas.microsoft.com/office/2006/metadata/contentType"/>
    <ds:schemaRef ds:uri="http://schemas.microsoft.com/office/2006/metadata/properties/metaAttributes"/>
    <ds:schemaRef ds:uri="http://www.w3.org/2000/xmlns/"/>
    <ds:schemaRef ds:uri="http://www.w3.org/2001/XMLSchema"/>
    <ds:schemaRef ds:uri="f276f1ef-f3cb-4dfb-88c1-04fdd7204b32"/>
    <ds:schemaRef ds:uri="7fcafa22-fa3e-45d2-96af-842f74107a3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2117</Words>
  <Characters>12072</Characters>
  <Application>Microsoft Office Word</Application>
  <DocSecurity>0</DocSecurity>
  <Lines>100</Lines>
  <Paragraphs>28</Paragraphs>
  <ScaleCrop>false</ScaleCrop>
  <Company/>
  <LinksUpToDate>false</LinksUpToDate>
  <CharactersWithSpaces>14161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Gabriel</dc:creator>
  <cp:keywords/>
  <dc:description/>
  <cp:lastModifiedBy>Kevin Gabriel</cp:lastModifiedBy>
  <cp:revision>2</cp:revision>
  <dcterms:created xsi:type="dcterms:W3CDTF">2023-06-09T23:22:00Z</dcterms:created>
  <dcterms:modified xsi:type="dcterms:W3CDTF">2023-06-09T23:22:00Z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0x0101003A5FAF2986C99E48913F100A1D0AE073</vt:lpwstr>
  </property>
</Properties>
</file>